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b/>
          <w:sz w:val="44"/>
          <w:szCs w:val="32"/>
          <w:lang w:val="en-US" w:eastAsia="zh-CN"/>
        </w:rPr>
      </w:pPr>
      <w:r>
        <w:rPr>
          <w:rFonts w:hint="eastAsia"/>
          <w:b/>
          <w:sz w:val="44"/>
          <w:szCs w:val="32"/>
          <w:lang w:val="en-US" w:eastAsia="zh-CN"/>
        </w:rPr>
        <w:t>2025年全国高校商业精英挑战赛辽宁赛区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lang w:val="en-US" w:eastAsia="zh-CN"/>
        </w:rPr>
      </w:pPr>
      <w:r>
        <w:rPr>
          <w:rFonts w:hint="eastAsia"/>
          <w:b/>
          <w:sz w:val="44"/>
          <w:szCs w:val="32"/>
          <w:lang w:val="en-US" w:eastAsia="zh-CN"/>
        </w:rPr>
        <w:t>D、创新创业竞赛细则</w:t>
      </w:r>
    </w:p>
    <w:p>
      <w:pPr>
        <w:pStyle w:val="43"/>
        <w:keepNext w:val="0"/>
        <w:keepLines w:val="0"/>
        <w:pageBreakBefore w:val="0"/>
        <w:kinsoku/>
        <w:wordWrap/>
        <w:overflowPunct/>
        <w:topLinePunct w:val="0"/>
        <w:autoSpaceDE w:val="0"/>
        <w:autoSpaceDN w:val="0"/>
        <w:bidi w:val="0"/>
        <w:adjustRightInd w:val="0"/>
        <w:snapToGrid w:val="0"/>
        <w:spacing w:beforeAutospacing="0" w:afterAutospacing="0" w:line="560" w:lineRule="exact"/>
        <w:ind w:firstLine="3052" w:firstLineChars="950"/>
        <w:textAlignment w:val="baseline"/>
        <w:rPr>
          <w:rFonts w:hint="eastAsia" w:ascii="仿宋_GB2312" w:hAnsi="微软雅黑" w:eastAsia="仿宋_GB2312" w:cs="宋体"/>
          <w:b/>
          <w:bCs/>
          <w:color w:val="auto"/>
          <w:sz w:val="32"/>
          <w:szCs w:val="32"/>
        </w:rPr>
      </w:pPr>
      <w:bookmarkStart w:id="0" w:name="_Toc25151"/>
      <w:bookmarkStart w:id="1" w:name="_Toc19467"/>
      <w:bookmarkStart w:id="2" w:name="_Toc162261977"/>
      <w:bookmarkStart w:id="3" w:name="_Toc26370"/>
      <w:bookmarkStart w:id="4" w:name="_Toc18044"/>
      <w:bookmarkStart w:id="5" w:name="_Toc14284"/>
      <w:bookmarkStart w:id="6" w:name="_Toc162035071"/>
      <w:r>
        <w:rPr>
          <w:rFonts w:hint="eastAsia" w:ascii="仿宋_GB2312" w:hAnsi="微软雅黑" w:eastAsia="仿宋_GB2312" w:cs="宋体"/>
          <w:b/>
          <w:bCs/>
          <w:color w:val="auto"/>
          <w:sz w:val="32"/>
          <w:szCs w:val="32"/>
          <w:lang w:val="en-US" w:eastAsia="zh-CN"/>
        </w:rPr>
        <w:t>D-1.创业计划</w:t>
      </w:r>
      <w:r>
        <w:rPr>
          <w:rFonts w:hint="eastAsia" w:ascii="仿宋_GB2312" w:hAnsi="微软雅黑" w:eastAsia="仿宋_GB2312" w:cs="宋体"/>
          <w:b/>
          <w:bCs/>
          <w:color w:val="auto"/>
          <w:sz w:val="32"/>
          <w:szCs w:val="32"/>
        </w:rPr>
        <w:t>赛道</w:t>
      </w:r>
    </w:p>
    <w:p>
      <w:pPr>
        <w:pStyle w:val="51"/>
        <w:spacing w:line="240" w:lineRule="auto"/>
        <w:ind w:firstLine="0"/>
        <w:rPr>
          <w:rFonts w:hint="eastAsia" w:ascii="黑体" w:hAnsi="黑体" w:eastAsia="微软雅黑"/>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bookmarkEnd w:id="0"/>
      <w:bookmarkEnd w:id="1"/>
      <w:bookmarkEnd w:id="2"/>
      <w:bookmarkEnd w:id="3"/>
      <w:bookmarkEnd w:id="4"/>
      <w:bookmarkEnd w:id="5"/>
      <w:bookmarkEnd w:id="6"/>
      <w:bookmarkStart w:id="7" w:name="_Toc32596"/>
      <w:bookmarkStart w:id="8" w:name="_Toc162035072"/>
      <w:bookmarkStart w:id="9" w:name="_Toc15171"/>
      <w:bookmarkStart w:id="10" w:name="_Toc16799"/>
      <w:bookmarkStart w:id="11" w:name="_Toc30679"/>
      <w:bookmarkStart w:id="12" w:name="_Toc162261978"/>
      <w:bookmarkStart w:id="13" w:name="_Toc18149"/>
      <w:r>
        <w:rPr>
          <w:rFonts w:hint="eastAsia" w:cs="仿宋"/>
          <w:color w:val="000000" w:themeColor="text1"/>
          <w:sz w:val="32"/>
          <w:szCs w:val="32"/>
          <w14:textFill>
            <w14:solidFill>
              <w14:schemeClr w14:val="tx1"/>
            </w14:solidFill>
          </w14:textFill>
          <w14:ligatures w14:val="standardContextual"/>
        </w:rPr>
        <w:t>竞赛</w:t>
      </w:r>
      <w:r>
        <w:rPr>
          <w:rFonts w:hint="eastAsia" w:cs="仿宋"/>
          <w:color w:val="000000" w:themeColor="text1"/>
          <w:sz w:val="32"/>
          <w:szCs w:val="32"/>
          <w:lang w:val="en-US" w:eastAsia="zh-CN"/>
          <w14:textFill>
            <w14:solidFill>
              <w14:schemeClr w14:val="tx1"/>
            </w14:solidFill>
          </w14:textFill>
          <w14:ligatures w14:val="standardContextual"/>
        </w:rPr>
        <w:t>目的</w:t>
      </w:r>
    </w:p>
    <w:p>
      <w:pPr>
        <w:pStyle w:val="51"/>
        <w:spacing w:line="240" w:lineRule="auto"/>
        <w:ind w:firstLine="0"/>
        <w:rPr>
          <w:rFonts w:hint="eastAsia" w:ascii="仿宋_GB2312" w:hAnsi="仿宋_GB2312" w:eastAsia="仿宋_GB2312" w:cs="仿宋_GB2312"/>
          <w:color w:val="000000" w:themeColor="text1"/>
          <w:sz w:val="28"/>
          <w:szCs w:val="32"/>
          <w14:textFill>
            <w14:solidFill>
              <w14:schemeClr w14:val="tx1"/>
            </w14:solidFill>
          </w14:textFill>
        </w:rPr>
      </w:pPr>
      <w:r>
        <w:rPr>
          <w:rFonts w:hint="eastAsia" w:ascii="仿宋_GB2312" w:hAnsi="仿宋_GB2312" w:eastAsia="仿宋_GB2312" w:cs="仿宋_GB2312"/>
          <w:color w:val="000000" w:themeColor="text1"/>
          <w:sz w:val="28"/>
          <w:szCs w:val="32"/>
          <w14:textFill>
            <w14:solidFill>
              <w14:schemeClr w14:val="tx1"/>
            </w14:solidFill>
          </w14:textFill>
        </w:rPr>
        <w:t>(一)挖掘有潜力的创业项目。鼓励学生深入思考商业创意，找到具有创新性、市场前景好的项目想法，推动新技术、新商业模式等的诞生</w:t>
      </w:r>
    </w:p>
    <w:p>
      <w:pPr>
        <w:pStyle w:val="51"/>
        <w:spacing w:line="240" w:lineRule="auto"/>
        <w:ind w:firstLine="0"/>
        <w:rPr>
          <w:rFonts w:hint="eastAsia" w:ascii="仿宋_GB2312" w:hAnsi="仿宋_GB2312" w:eastAsia="仿宋_GB2312" w:cs="仿宋_GB2312"/>
          <w:color w:val="000000" w:themeColor="text1"/>
          <w:sz w:val="28"/>
          <w:szCs w:val="32"/>
          <w14:textFill>
            <w14:solidFill>
              <w14:schemeClr w14:val="tx1"/>
            </w14:solidFill>
          </w14:textFill>
        </w:rPr>
      </w:pPr>
      <w:r>
        <w:rPr>
          <w:rFonts w:hint="eastAsia" w:ascii="仿宋_GB2312" w:hAnsi="仿宋_GB2312" w:eastAsia="仿宋_GB2312" w:cs="仿宋_GB2312"/>
          <w:color w:val="000000" w:themeColor="text1"/>
          <w:sz w:val="28"/>
          <w:szCs w:val="32"/>
          <w14:textFill>
            <w14:solidFill>
              <w14:schemeClr w14:val="tx1"/>
            </w14:solidFill>
          </w14:textFill>
        </w:rPr>
        <w:t>(二)培养创新创业能力，促进学生综合素质的提高、综合运用所学相关专业知识解决实际问题的能力，让学生在撰写商业计划书、进行市场分析、制定营销策略、规划财务预算等过程中，提高学生的有效的口头交流、时间管理、思辨、创意与创造、书面表达、PPT 制作、演讲、人际与社会交往能力等综合能力。</w:t>
      </w:r>
    </w:p>
    <w:p>
      <w:pPr>
        <w:pStyle w:val="51"/>
        <w:spacing w:line="240" w:lineRule="auto"/>
        <w:ind w:firstLine="0"/>
        <w:rPr>
          <w:rFonts w:hint="eastAsia" w:ascii="仿宋_GB2312" w:hAnsi="仿宋_GB2312" w:eastAsia="仿宋_GB2312" w:cs="仿宋_GB2312"/>
          <w:color w:val="000000" w:themeColor="text1"/>
          <w:sz w:val="28"/>
          <w:szCs w:val="32"/>
          <w14:textFill>
            <w14:solidFill>
              <w14:schemeClr w14:val="tx1"/>
            </w14:solidFill>
          </w14:textFill>
        </w:rPr>
      </w:pPr>
      <w:r>
        <w:rPr>
          <w:rFonts w:hint="eastAsia" w:ascii="仿宋_GB2312" w:hAnsi="仿宋_GB2312" w:eastAsia="仿宋_GB2312" w:cs="仿宋_GB2312"/>
          <w:color w:val="000000" w:themeColor="text1"/>
          <w:sz w:val="28"/>
          <w:szCs w:val="32"/>
          <w14:textFill>
            <w14:solidFill>
              <w14:schemeClr w14:val="tx1"/>
            </w14:solidFill>
          </w14:textFill>
        </w:rPr>
        <w:t>(三)营造创新创业氛围。通过竞赛激发更多同学关注创新创业领域，在校园内形成积极的创业文化，鼓励更多同学勇于尝试创业。</w:t>
      </w:r>
    </w:p>
    <w:p>
      <w:pPr>
        <w:pStyle w:val="51"/>
        <w:spacing w:line="240" w:lineRule="auto"/>
        <w:ind w:firstLine="0"/>
        <w:rPr>
          <w:rFonts w:hint="eastAsia" w:ascii="仿宋_GB2312" w:hAnsi="仿宋_GB2312" w:eastAsia="微软雅黑" w:cs="仿宋_GB2312"/>
          <w:color w:val="000000" w:themeColor="text1"/>
          <w:sz w:val="28"/>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w:t>
      </w:r>
      <w:r>
        <w:rPr>
          <w:rFonts w:hint="eastAsia" w:cs="仿宋"/>
          <w:color w:val="000000" w:themeColor="text1"/>
          <w:sz w:val="32"/>
          <w:szCs w:val="32"/>
          <w14:textFill>
            <w14:solidFill>
              <w14:schemeClr w14:val="tx1"/>
            </w14:solidFill>
          </w14:textFill>
          <w14:ligatures w14:val="standardContextual"/>
        </w:rPr>
        <w:t>竞赛</w:t>
      </w:r>
      <w:bookmarkEnd w:id="7"/>
      <w:bookmarkEnd w:id="8"/>
      <w:bookmarkEnd w:id="9"/>
      <w:bookmarkEnd w:id="10"/>
      <w:bookmarkEnd w:id="11"/>
      <w:bookmarkEnd w:id="12"/>
      <w:bookmarkEnd w:id="13"/>
      <w:r>
        <w:rPr>
          <w:rFonts w:hint="eastAsia" w:cs="仿宋"/>
          <w:color w:val="000000" w:themeColor="text1"/>
          <w:sz w:val="32"/>
          <w:szCs w:val="32"/>
          <w:lang w:val="en-US" w:eastAsia="zh-CN"/>
          <w14:textFill>
            <w14:solidFill>
              <w14:schemeClr w14:val="tx1"/>
            </w14:solidFill>
          </w14:textFill>
          <w14:ligatures w14:val="standardContextual"/>
        </w:rPr>
        <w:t>组别</w:t>
      </w: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(一)创业组</w:t>
      </w: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要求:项目需要有3个月以上的运营;有团队、商业计划书，已形成具体的产品或服务，并有详细运营数据;参赛项目工商登记注册未满3年(2022年1月1日以后注册)，且获机构或个人股权投资不超过天使轮。参赛申报人须为初创企业股东(企业实际控制人)，同时须为普通高等学校在校</w:t>
      </w: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(二)创客组</w:t>
      </w:r>
    </w:p>
    <w:p>
      <w:pPr>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要求: 项目尚未落地，但想法新颖独特，市场潜力巨大已有较完善的商业模式和实施计划。参赛项目具有较好的创意和较为成型的产品原型或服务模式，在2025年1月1日前尚未完成工商登记注册。参赛申报人须为普通高等院校在校学生(不含在职生)。</w:t>
      </w:r>
    </w:p>
    <w:p>
      <w:pPr>
        <w:pStyle w:val="51"/>
        <w:spacing w:line="240" w:lineRule="auto"/>
        <w:ind w:firstLine="0"/>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三、</w:t>
      </w:r>
      <w:r>
        <w:rPr>
          <w:rFonts w:hint="eastAsia" w:ascii="黑体" w:hAnsi="黑体" w:eastAsia="黑体"/>
          <w:color w:val="000000" w:themeColor="text1"/>
          <w:sz w:val="32"/>
          <w:szCs w:val="32"/>
          <w:lang w:eastAsia="zh-CN"/>
          <w14:textFill>
            <w14:solidFill>
              <w14:schemeClr w14:val="tx1"/>
            </w14:solidFill>
          </w14:textFill>
        </w:rPr>
        <w:t>竞赛形式</w:t>
      </w:r>
    </w:p>
    <w:p>
      <w:p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竞赛形式及阶段竞赛为团体赛形式，设置创业组、创客组，每个团队由3至5名全日制在校大学生(须为创业项目的实际成员)和1至2名指导教师组成，教师可指导多支团队，学生不可跨校组队，即每名学生只能参加1个团队，不可跨团队交叉组队。</w:t>
      </w:r>
    </w:p>
    <w:p>
      <w:pPr>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省赛需要提交计划书+PPT</w:t>
      </w:r>
    </w:p>
    <w:p>
      <w:pPr>
        <w:pStyle w:val="51"/>
        <w:numPr>
          <w:ilvl w:val="0"/>
          <w:numId w:val="1"/>
        </w:numPr>
        <w:spacing w:line="240" w:lineRule="auto"/>
        <w:ind w:firstLine="0"/>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参赛项目要求</w:t>
      </w:r>
    </w:p>
    <w:p>
      <w:pPr>
        <w:pStyle w:val="50"/>
        <w:numPr>
          <w:ilvl w:val="0"/>
          <w:numId w:val="0"/>
        </w:numPr>
        <w:rPr>
          <w:rFonts w:hint="default"/>
          <w:lang w:val="en-US" w:eastAsia="zh-CN"/>
        </w:rPr>
      </w:pPr>
      <w:r>
        <w:rPr>
          <w:rFonts w:hint="default"/>
          <w:lang w:val="en-US" w:eastAsia="zh-CN"/>
        </w:rPr>
        <w:t>(一)参赛项目要保证真实、健康、合法,无不良信息，项目立意新颖、弘扬正能量;不得侵犯他人知识产权;所涉及的发明创造、专利技术、资源等必须拥有清晰合法的知识产权或物权;抄袭、盗用、提供虚假材料或违反相关法律法规一经发现立即取消参赛资格并需自行承担一切法律责任和后果。</w:t>
      </w:r>
    </w:p>
    <w:p>
      <w:pPr>
        <w:pStyle w:val="50"/>
        <w:numPr>
          <w:ilvl w:val="0"/>
          <w:numId w:val="0"/>
        </w:numPr>
        <w:rPr>
          <w:rFonts w:hint="default"/>
          <w:lang w:val="en-US" w:eastAsia="zh-CN"/>
        </w:rPr>
      </w:pPr>
      <w:r>
        <w:rPr>
          <w:rFonts w:hint="default"/>
          <w:lang w:val="en-US" w:eastAsia="zh-CN"/>
        </w:rPr>
        <w:t>(二)参赛项目涉及他人知识产权的，需提交完整的具有法律效力的所有人书面授权许可书、专利证书等;已完成工商登记注册的创业项目，需提交工商注册信息。</w:t>
      </w:r>
    </w:p>
    <w:p>
      <w:pPr>
        <w:pStyle w:val="50"/>
        <w:numPr>
          <w:ilvl w:val="0"/>
          <w:numId w:val="0"/>
        </w:numPr>
        <w:rPr>
          <w:rFonts w:hint="default"/>
          <w:lang w:val="en-US" w:eastAsia="zh-CN"/>
        </w:rPr>
      </w:pPr>
      <w:r>
        <w:rPr>
          <w:rFonts w:hint="default"/>
          <w:lang w:val="en-US" w:eastAsia="zh-CN"/>
        </w:rPr>
        <w:t>(三)已完成工商登记注册的创业项目,需提交营业执照及统一社会信用代码等相关复印件、单位概况、法定代表人情况、股权结构等。参赛项目可提供当前财务数据已获投资情况、带动就业情况等相关证明材料。已获投资(或收入)的参赛项目，请在全国总决赛时提供相应佐证材</w:t>
      </w:r>
    </w:p>
    <w:p>
      <w:pPr>
        <w:pStyle w:val="50"/>
        <w:numPr>
          <w:ilvl w:val="0"/>
          <w:numId w:val="0"/>
        </w:numPr>
        <w:rPr>
          <w:rFonts w:hint="default"/>
          <w:lang w:val="en-US" w:eastAsia="zh-CN"/>
        </w:rPr>
      </w:pPr>
      <w:r>
        <w:rPr>
          <w:rFonts w:hint="default"/>
          <w:lang w:val="en-US" w:eastAsia="zh-CN"/>
        </w:rPr>
        <w:t>(四)参赛项目类型应紧抓社会当下所需、布局未来，促进社会经济各领域创新，发展。参赛项目主要包括以下类型:</w:t>
      </w:r>
    </w:p>
    <w:p>
      <w:pPr>
        <w:pStyle w:val="50"/>
        <w:numPr>
          <w:ilvl w:val="0"/>
          <w:numId w:val="0"/>
        </w:numPr>
        <w:rPr>
          <w:rFonts w:hint="default"/>
          <w:lang w:val="en-US" w:eastAsia="zh-CN"/>
        </w:rPr>
      </w:pPr>
      <w:r>
        <w:rPr>
          <w:rFonts w:hint="default"/>
          <w:lang w:val="en-US" w:eastAsia="zh-CN"/>
        </w:rPr>
        <w:t>1.新经济:以模式创新预见未来，包括消费升级、共享经济、新零售、教育培训、医疗健康、交通出行、创新金融、电子商务、下乡项目、出海项目、跨界项目等;2.高科技: 以技术创新引领世界，包括 5G 通讯、人工智能、大数据、云平台、智能机器人、工业自动化、智能家、新材料、新能源等;</w:t>
      </w:r>
    </w:p>
    <w:p>
      <w:pPr>
        <w:pStyle w:val="50"/>
        <w:numPr>
          <w:ilvl w:val="0"/>
          <w:numId w:val="0"/>
        </w:numPr>
        <w:rPr>
          <w:rFonts w:hint="eastAsia"/>
          <w:lang w:val="en-US" w:eastAsia="zh-CN"/>
        </w:rPr>
      </w:pPr>
      <w:r>
        <w:rPr>
          <w:rFonts w:hint="default"/>
          <w:lang w:val="en-US" w:eastAsia="zh-CN"/>
        </w:rPr>
        <w:t>3.泛娱乐:以内容创新改变生活，包括广播影视、设计服务、文化艺术、旅游休闲、艺术品交易、广告会展、动漫娱乐、体育竞技等</w:t>
      </w:r>
      <w:r>
        <w:rPr>
          <w:rFonts w:hint="eastAsia"/>
          <w:lang w:val="en-US" w:eastAsia="zh-CN"/>
        </w:rPr>
        <w:t>。</w:t>
      </w:r>
    </w:p>
    <w:p>
      <w:pPr>
        <w:pStyle w:val="51"/>
        <w:numPr>
          <w:ilvl w:val="0"/>
          <w:numId w:val="1"/>
        </w:numPr>
        <w:spacing w:line="240" w:lineRule="auto"/>
        <w:ind w:firstLine="0"/>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商业计划书要求</w:t>
      </w:r>
    </w:p>
    <w:p>
      <w:pPr>
        <w:pStyle w:val="50"/>
        <w:numPr>
          <w:ilvl w:val="0"/>
          <w:numId w:val="0"/>
        </w:numPr>
        <w:rPr>
          <w:rFonts w:hint="default"/>
          <w:lang w:val="en-US" w:eastAsia="zh-CN"/>
        </w:rPr>
      </w:pPr>
      <w:r>
        <w:rPr>
          <w:rFonts w:hint="default"/>
          <w:lang w:val="en-US" w:eastAsia="zh-CN"/>
        </w:rPr>
        <w:t>商业计划书命名格式为:“参赛组别(创业组/创客组/在华留学生组)-学校名称-团队名称-商业计划书名称”(团队名称应与全国预选赛团队信息表保持一致)。</w:t>
      </w:r>
    </w:p>
    <w:p>
      <w:pPr>
        <w:pStyle w:val="50"/>
        <w:numPr>
          <w:ilvl w:val="0"/>
          <w:numId w:val="0"/>
        </w:numPr>
        <w:rPr>
          <w:rFonts w:hint="default"/>
          <w:lang w:val="en-US" w:eastAsia="zh-CN"/>
        </w:rPr>
      </w:pPr>
      <w:r>
        <w:rPr>
          <w:rFonts w:hint="default"/>
          <w:lang w:val="en-US" w:eastAsia="zh-CN"/>
        </w:rPr>
        <w:t>作品原创性声明和版权使用授权书命名格式为:“命名要求:参赛组别(创业组/创客组/在华留学生组)-学校名称-团队名称-声明及授权书”。</w:t>
      </w:r>
    </w:p>
    <w:p>
      <w:pPr>
        <w:pStyle w:val="50"/>
        <w:numPr>
          <w:ilvl w:val="0"/>
          <w:numId w:val="0"/>
        </w:numPr>
        <w:rPr>
          <w:rFonts w:hint="default"/>
          <w:lang w:val="en-US" w:eastAsia="zh-CN"/>
        </w:rPr>
      </w:pPr>
      <w:r>
        <w:rPr>
          <w:rFonts w:hint="default"/>
          <w:lang w:val="en-US" w:eastAsia="zh-CN"/>
        </w:rPr>
        <w:t>商业计划书文档要求如下:</w:t>
      </w:r>
    </w:p>
    <w:p>
      <w:pPr>
        <w:pStyle w:val="50"/>
        <w:numPr>
          <w:ilvl w:val="0"/>
          <w:numId w:val="0"/>
        </w:numPr>
        <w:rPr>
          <w:rFonts w:hint="default"/>
          <w:lang w:val="en-US" w:eastAsia="zh-CN"/>
        </w:rPr>
      </w:pPr>
      <w:r>
        <w:rPr>
          <w:rFonts w:hint="default"/>
          <w:lang w:val="en-US" w:eastAsia="zh-CN"/>
        </w:rPr>
        <w:t>(一)参赛方案语言为中文</w:t>
      </w:r>
    </w:p>
    <w:p>
      <w:pPr>
        <w:pStyle w:val="50"/>
        <w:numPr>
          <w:ilvl w:val="0"/>
          <w:numId w:val="0"/>
        </w:numPr>
        <w:rPr>
          <w:rFonts w:hint="default"/>
          <w:lang w:val="en-US" w:eastAsia="zh-CN"/>
        </w:rPr>
      </w:pPr>
      <w:r>
        <w:rPr>
          <w:rFonts w:hint="default"/>
          <w:lang w:val="en-US" w:eastAsia="zh-CN"/>
        </w:rPr>
        <w:t>(二)PDF 文档，A4 纸竖排版，PDF格式，不少于3000字，除封面、目录外其他内容总计不超过 80 页(含调查问卷等附页)，中文正文宋体小四，英文正文 Times NewRoman 小四;</w:t>
      </w:r>
    </w:p>
    <w:p>
      <w:pPr>
        <w:pStyle w:val="50"/>
        <w:numPr>
          <w:ilvl w:val="0"/>
          <w:numId w:val="0"/>
        </w:numPr>
        <w:rPr>
          <w:rFonts w:hint="default"/>
          <w:lang w:val="en-US" w:eastAsia="zh-CN"/>
        </w:rPr>
      </w:pPr>
      <w:r>
        <w:rPr>
          <w:rFonts w:hint="default"/>
          <w:lang w:val="en-US" w:eastAsia="zh-CN"/>
        </w:rPr>
        <w:t>(三)需单独设计封面及目录(无需单独设置为一个文件，作为首页与计划书内容等放在一起，一份 PDF 文件即可)，封面内容包含①竞赛组别(创业组/创客组/在华留学生组 )、②团队名称、③项目名称，其他信息均不出现;</w:t>
      </w:r>
    </w:p>
    <w:p>
      <w:pPr>
        <w:pStyle w:val="50"/>
        <w:numPr>
          <w:ilvl w:val="0"/>
          <w:numId w:val="0"/>
        </w:numPr>
        <w:rPr>
          <w:rFonts w:hint="default"/>
          <w:lang w:val="en-US" w:eastAsia="zh-CN"/>
        </w:rPr>
      </w:pPr>
      <w:r>
        <w:rPr>
          <w:rFonts w:hint="default"/>
          <w:lang w:val="en-US" w:eastAsia="zh-CN"/>
        </w:rPr>
        <w:t>(四)如有调查问卷、结果和迭代创新说明以附录形式体现，放置在方案最后(包含在正文80页内);如有其他证明材料，如专利证书、授权书、营业执照等，一并放置在最后(包含在正文 80 页内)。</w:t>
      </w:r>
    </w:p>
    <w:p>
      <w:pPr>
        <w:pStyle w:val="50"/>
        <w:numPr>
          <w:ilvl w:val="0"/>
          <w:numId w:val="0"/>
        </w:numPr>
        <w:rPr>
          <w:rFonts w:hint="default"/>
          <w:lang w:val="en-US" w:eastAsia="zh-CN"/>
        </w:rPr>
      </w:pPr>
      <w:r>
        <w:rPr>
          <w:rFonts w:hint="default"/>
          <w:lang w:val="en-US" w:eastAsia="zh-CN"/>
        </w:rPr>
        <w:t>(五)创业计划赛道的参赛项目都应该是原始创新的项目，但根据是否是第一次参赛而分为两类:第一类，首次参赛。项目是首次参赛(本项目的作品在报名时没有参加过其他任何公开比赛，并且从报名参加本届创业计划赛道的校赛、省赛直到参加国赛时也没有参加过其他任何公开比赛);第二类，非首次参赛。项目不是第一次参赛，但在满足下列三个附加条件时，可以参赛:</w:t>
      </w:r>
    </w:p>
    <w:p>
      <w:pPr>
        <w:pStyle w:val="50"/>
        <w:numPr>
          <w:ilvl w:val="0"/>
          <w:numId w:val="0"/>
        </w:numPr>
        <w:rPr>
          <w:rFonts w:hint="default"/>
          <w:lang w:val="en-US" w:eastAsia="zh-CN"/>
        </w:rPr>
      </w:pPr>
      <w:r>
        <w:rPr>
          <w:rFonts w:hint="default"/>
          <w:lang w:val="en-US" w:eastAsia="zh-CN"/>
        </w:rPr>
        <w:t>1.提交的本届《商业计划书》对原参赛项目作品做了明显的再创新，且再创新不低于原参赛项目的60%</w:t>
      </w:r>
    </w:p>
    <w:p>
      <w:pPr>
        <w:pStyle w:val="50"/>
        <w:numPr>
          <w:ilvl w:val="0"/>
          <w:numId w:val="0"/>
        </w:numPr>
        <w:rPr>
          <w:rFonts w:hint="default"/>
          <w:lang w:val="en-US" w:eastAsia="zh-CN"/>
        </w:rPr>
      </w:pPr>
      <w:r>
        <w:rPr>
          <w:rFonts w:hint="default"/>
          <w:lang w:val="en-US" w:eastAsia="zh-CN"/>
        </w:rPr>
        <w:t>2.提交原参赛项目作品;</w:t>
      </w:r>
    </w:p>
    <w:p>
      <w:pPr>
        <w:pStyle w:val="50"/>
        <w:numPr>
          <w:ilvl w:val="0"/>
          <w:numId w:val="0"/>
        </w:numPr>
        <w:rPr>
          <w:rFonts w:hint="default"/>
          <w:lang w:val="en-US" w:eastAsia="zh-CN"/>
        </w:rPr>
      </w:pPr>
      <w:r>
        <w:rPr>
          <w:rFonts w:hint="default"/>
          <w:lang w:val="en-US" w:eastAsia="zh-CN"/>
        </w:rPr>
        <w:t>3.提交本届《商业计划书》与原参赛项目作品的比较说明(对迭代创新的主要内容给予说明)。</w:t>
      </w:r>
    </w:p>
    <w:p>
      <w:pPr>
        <w:pStyle w:val="50"/>
        <w:numPr>
          <w:ilvl w:val="0"/>
          <w:numId w:val="0"/>
        </w:numPr>
        <w:rPr>
          <w:rFonts w:hint="default"/>
          <w:lang w:val="en-US" w:eastAsia="zh-CN"/>
        </w:rPr>
      </w:pPr>
      <w:r>
        <w:rPr>
          <w:rFonts w:hint="default"/>
          <w:lang w:val="en-US" w:eastAsia="zh-CN"/>
        </w:rPr>
        <w:t>注:原参赛项目作品命名格式为:“组别(创业组/创客组)-院校名称-团队名称-作品名称-重复参赛”</w:t>
      </w:r>
    </w:p>
    <w:p>
      <w:pPr>
        <w:pStyle w:val="50"/>
        <w:numPr>
          <w:ilvl w:val="0"/>
          <w:numId w:val="0"/>
        </w:numPr>
        <w:rPr>
          <w:rFonts w:hint="default"/>
          <w:lang w:val="en-US" w:eastAsia="zh-CN"/>
        </w:rPr>
      </w:pPr>
      <w:r>
        <w:rPr>
          <w:rFonts w:hint="default"/>
          <w:lang w:val="en-US" w:eastAsia="zh-CN"/>
        </w:rPr>
        <w:fldChar w:fldCharType="begin"/>
      </w:r>
      <w:r>
        <w:rPr>
          <w:rFonts w:hint="default"/>
          <w:lang w:val="en-US" w:eastAsia="zh-CN"/>
        </w:rPr>
        <w:instrText xml:space="preserve"> HYPERLINK "mailto:组委会邮箱(ccpitlzz@163.com);迭代创新说明文件以附件的形式体现在本届《商业计划书》内。" </w:instrText>
      </w:r>
      <w:r>
        <w:rPr>
          <w:rFonts w:hint="default"/>
          <w:lang w:val="en-US" w:eastAsia="zh-CN"/>
        </w:rPr>
        <w:fldChar w:fldCharType="separate"/>
      </w:r>
      <w:r>
        <w:rPr>
          <w:rStyle w:val="23"/>
          <w:rFonts w:hint="default"/>
          <w:lang w:val="en-US" w:eastAsia="zh-CN"/>
        </w:rPr>
        <w:t>组委会邮箱(</w:t>
      </w:r>
      <w:r>
        <w:rPr>
          <w:rStyle w:val="23"/>
          <w:rFonts w:hint="eastAsia"/>
          <w:lang w:val="en-US" w:eastAsia="zh-CN"/>
        </w:rPr>
        <w:t>897004141</w:t>
      </w:r>
      <w:r>
        <w:rPr>
          <w:rStyle w:val="23"/>
          <w:rFonts w:hint="default"/>
          <w:lang w:val="en-US" w:eastAsia="zh-CN"/>
        </w:rPr>
        <w:t>@</w:t>
      </w:r>
      <w:r>
        <w:rPr>
          <w:rStyle w:val="23"/>
          <w:rFonts w:hint="eastAsia"/>
          <w:lang w:val="en-US" w:eastAsia="zh-CN"/>
        </w:rPr>
        <w:t>qq</w:t>
      </w:r>
      <w:r>
        <w:rPr>
          <w:rStyle w:val="23"/>
          <w:rFonts w:hint="default"/>
          <w:lang w:val="en-US" w:eastAsia="zh-CN"/>
        </w:rPr>
        <w:t>.com);迭代创新说明文件以附件的形式体现在本届《商业计划书》内。</w:t>
      </w:r>
      <w:r>
        <w:rPr>
          <w:rFonts w:hint="default"/>
          <w:lang w:val="en-US" w:eastAsia="zh-CN"/>
        </w:rPr>
        <w:fldChar w:fldCharType="end"/>
      </w:r>
    </w:p>
    <w:p>
      <w:pPr>
        <w:pStyle w:val="50"/>
        <w:numPr>
          <w:ilvl w:val="0"/>
          <w:numId w:val="0"/>
        </w:numPr>
        <w:rPr>
          <w:rFonts w:hint="default"/>
          <w:lang w:val="en-US" w:eastAsia="zh-CN"/>
        </w:rPr>
      </w:pPr>
      <w:r>
        <w:rPr>
          <w:rFonts w:hint="default"/>
          <w:lang w:val="en-US" w:eastAsia="zh-CN"/>
        </w:rPr>
        <w:t>商业计划书和 PPT 内容均不得出现任何有关本参赛院校名称的相关信息、1ogo 及参赛人员联系方式等内容，一经发现将扣除相应分数。</w:t>
      </w:r>
    </w:p>
    <w:p>
      <w:pPr>
        <w:pStyle w:val="51"/>
        <w:numPr>
          <w:ilvl w:val="0"/>
          <w:numId w:val="1"/>
        </w:numPr>
        <w:spacing w:line="240" w:lineRule="auto"/>
        <w:ind w:firstLine="0"/>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评分表</w:t>
      </w:r>
    </w:p>
    <w:p>
      <w:pPr>
        <w:pStyle w:val="50"/>
        <w:rPr>
          <w:rFonts w:hint="eastAsia" w:ascii="黑体" w:hAnsi="黑体" w:eastAsia="黑体"/>
          <w:color w:val="000000" w:themeColor="text1"/>
          <w:sz w:val="32"/>
          <w:szCs w:val="32"/>
          <w:lang w:val="en-US" w:eastAsia="zh-CN"/>
          <w14:textFill>
            <w14:solidFill>
              <w14:schemeClr w14:val="tx1"/>
            </w14:solidFill>
          </w14:textFill>
        </w:rPr>
      </w:pPr>
    </w:p>
    <w:p>
      <w:pPr>
        <w:pStyle w:val="50"/>
        <w:rPr>
          <w:rFonts w:hint="eastAsia" w:ascii="黑体" w:hAnsi="黑体" w:eastAsia="黑体"/>
          <w:color w:val="000000" w:themeColor="text1"/>
          <w:sz w:val="32"/>
          <w:szCs w:val="32"/>
          <w:lang w:val="en-US" w:eastAsia="zh-CN"/>
          <w14:textFill>
            <w14:solidFill>
              <w14:schemeClr w14:val="tx1"/>
            </w14:solidFill>
          </w14:textFill>
        </w:rPr>
      </w:pPr>
    </w:p>
    <w:p>
      <w:pPr>
        <w:pStyle w:val="50"/>
        <w:rPr>
          <w:rFonts w:hint="eastAsia" w:ascii="黑体" w:hAnsi="黑体" w:eastAsia="黑体"/>
          <w:color w:val="000000" w:themeColor="text1"/>
          <w:sz w:val="32"/>
          <w:szCs w:val="32"/>
          <w:lang w:val="en-US" w:eastAsia="zh-CN"/>
          <w14:textFill>
            <w14:solidFill>
              <w14:schemeClr w14:val="tx1"/>
            </w14:solidFill>
          </w14:textFill>
        </w:rPr>
      </w:pPr>
    </w:p>
    <w:p>
      <w:pPr>
        <w:pStyle w:val="50"/>
        <w:rPr>
          <w:rFonts w:hint="eastAsia" w:ascii="黑体" w:hAnsi="黑体" w:eastAsia="黑体"/>
          <w:color w:val="000000" w:themeColor="text1"/>
          <w:sz w:val="32"/>
          <w:szCs w:val="32"/>
          <w:lang w:val="en-US" w:eastAsia="zh-CN"/>
          <w14:textFill>
            <w14:solidFill>
              <w14:schemeClr w14:val="tx1"/>
            </w14:solidFill>
          </w14:textFill>
        </w:rPr>
      </w:pPr>
    </w:p>
    <w:p>
      <w:pPr>
        <w:pStyle w:val="50"/>
        <w:numPr>
          <w:ilvl w:val="0"/>
          <w:numId w:val="0"/>
        </w:numPr>
        <w:rPr>
          <w:rFonts w:hint="default"/>
          <w:lang w:val="en-US" w:eastAsia="zh-CN"/>
        </w:rPr>
      </w:pPr>
      <w:r>
        <w:rPr>
          <w:rFonts w:hint="default"/>
          <w:lang w:val="en-US" w:eastAsia="zh-CN"/>
        </w:rPr>
        <w:drawing>
          <wp:inline distT="0" distB="0" distL="114300" distR="114300">
            <wp:extent cx="5678805" cy="6625590"/>
            <wp:effectExtent l="0" t="0" r="10795" b="3810"/>
            <wp:docPr id="2" name="图片 2" descr="WeChat2650b342be8789f53bdf34fe84a9e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2650b342be8789f53bdf34fe84a9e211"/>
                    <pic:cNvPicPr>
                      <a:picLocks noChangeAspect="1"/>
                    </pic:cNvPicPr>
                  </pic:nvPicPr>
                  <pic:blipFill>
                    <a:blip r:embed="rId8"/>
                    <a:stretch>
                      <a:fillRect/>
                    </a:stretch>
                  </pic:blipFill>
                  <pic:spPr>
                    <a:xfrm>
                      <a:off x="0" y="0"/>
                      <a:ext cx="5678805" cy="6625590"/>
                    </a:xfrm>
                    <a:prstGeom prst="rect">
                      <a:avLst/>
                    </a:prstGeom>
                  </pic:spPr>
                </pic:pic>
              </a:graphicData>
            </a:graphic>
          </wp:inline>
        </w:drawing>
      </w:r>
    </w:p>
    <w:p>
      <w:pPr>
        <w:pStyle w:val="50"/>
        <w:numPr>
          <w:ilvl w:val="0"/>
          <w:numId w:val="0"/>
        </w:numPr>
        <w:rPr>
          <w:rFonts w:hint="default"/>
          <w:lang w:val="en-US" w:eastAsia="zh-CN"/>
        </w:rPr>
      </w:pPr>
    </w:p>
    <w:p>
      <w:pPr>
        <w:pStyle w:val="50"/>
        <w:numPr>
          <w:ilvl w:val="0"/>
          <w:numId w:val="0"/>
        </w:numPr>
        <w:rPr>
          <w:rFonts w:hint="default"/>
          <w:lang w:val="en-US" w:eastAsia="zh-CN"/>
        </w:rPr>
      </w:pPr>
    </w:p>
    <w:p>
      <w:pPr>
        <w:pStyle w:val="50"/>
        <w:numPr>
          <w:ilvl w:val="0"/>
          <w:numId w:val="0"/>
        </w:numPr>
        <w:rPr>
          <w:rFonts w:hint="default"/>
          <w:lang w:val="en-US" w:eastAsia="zh-CN"/>
        </w:rPr>
      </w:pPr>
    </w:p>
    <w:p>
      <w:pPr>
        <w:pStyle w:val="50"/>
        <w:numPr>
          <w:ilvl w:val="0"/>
          <w:numId w:val="0"/>
        </w:numPr>
        <w:rPr>
          <w:rFonts w:hint="default"/>
          <w:lang w:val="en-US" w:eastAsia="zh-CN"/>
        </w:rPr>
      </w:pPr>
    </w:p>
    <w:p>
      <w:pPr>
        <w:pStyle w:val="43"/>
        <w:keepNext w:val="0"/>
        <w:keepLines w:val="0"/>
        <w:pageBreakBefore w:val="0"/>
        <w:kinsoku/>
        <w:wordWrap/>
        <w:overflowPunct/>
        <w:topLinePunct w:val="0"/>
        <w:autoSpaceDE w:val="0"/>
        <w:autoSpaceDN w:val="0"/>
        <w:bidi w:val="0"/>
        <w:adjustRightInd w:val="0"/>
        <w:snapToGrid w:val="0"/>
        <w:spacing w:beforeAutospacing="0" w:afterAutospacing="0" w:line="560" w:lineRule="exact"/>
        <w:ind w:firstLine="482" w:firstLineChars="150"/>
        <w:jc w:val="center"/>
        <w:textAlignment w:val="baseline"/>
        <w:rPr>
          <w:rFonts w:hint="eastAsia" w:ascii="仿宋_GB2312" w:hAnsi="微软雅黑" w:eastAsia="仿宋_GB2312" w:cs="宋体"/>
          <w:b/>
          <w:bCs/>
          <w:color w:val="auto"/>
          <w:sz w:val="32"/>
          <w:szCs w:val="32"/>
        </w:rPr>
      </w:pPr>
      <w:r>
        <w:rPr>
          <w:rFonts w:hint="eastAsia" w:ascii="仿宋_GB2312" w:hAnsi="微软雅黑" w:eastAsia="仿宋_GB2312" w:cs="宋体"/>
          <w:b/>
          <w:bCs/>
          <w:color w:val="auto"/>
          <w:sz w:val="32"/>
          <w:szCs w:val="32"/>
          <w:lang w:val="en-US" w:eastAsia="zh-CN"/>
        </w:rPr>
        <w:t>D-2.创业模拟</w:t>
      </w:r>
      <w:r>
        <w:rPr>
          <w:rFonts w:hint="eastAsia" w:ascii="仿宋_GB2312" w:hAnsi="微软雅黑" w:eastAsia="仿宋_GB2312" w:cs="宋体"/>
          <w:b/>
          <w:bCs/>
          <w:color w:val="auto"/>
          <w:sz w:val="32"/>
          <w:szCs w:val="32"/>
        </w:rPr>
        <w:t>赛道</w:t>
      </w:r>
    </w:p>
    <w:p>
      <w:pPr>
        <w:pStyle w:val="51"/>
        <w:numPr>
          <w:ilvl w:val="0"/>
          <w:numId w:val="0"/>
        </w:numPr>
        <w:spacing w:line="240" w:lineRule="auto"/>
        <w:ind w:left="200" w:leftChars="0" w:firstLine="320" w:firstLineChars="100"/>
        <w:rPr>
          <w:rFonts w:hint="eastAsia"/>
          <w:b/>
          <w:bCs w:val="0"/>
          <w:color w:val="000000" w:themeColor="text1"/>
          <w:sz w:val="40"/>
          <w:szCs w:val="40"/>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一、竞赛形式</w:t>
      </w:r>
    </w:p>
    <w:p>
      <w:pPr>
        <w:pStyle w:val="50"/>
        <w:numPr>
          <w:ilvl w:val="0"/>
          <w:numId w:val="0"/>
        </w:numPr>
        <w:ind w:firstLine="560" w:firstLineChars="200"/>
        <w:rPr>
          <w:rFonts w:hint="default"/>
          <w:lang w:val="en-US" w:eastAsia="zh-CN"/>
        </w:rPr>
      </w:pPr>
      <w:r>
        <w:rPr>
          <w:rFonts w:hint="default"/>
          <w:lang w:val="en-US" w:eastAsia="zh-CN"/>
        </w:rPr>
        <w:t>本次竞赛为团体赛形式，由各校知识赛合格的选手自行组成团队(每个团队由3至5名选手和1至2名辅导教师组成)。各参赛院校统一由一位老师负责本校的赛事组织及联络工作。</w:t>
      </w:r>
    </w:p>
    <w:p>
      <w:pPr>
        <w:pStyle w:val="50"/>
        <w:numPr>
          <w:ilvl w:val="0"/>
          <w:numId w:val="0"/>
        </w:numPr>
        <w:ind w:firstLine="560" w:firstLineChars="200"/>
        <w:rPr>
          <w:rFonts w:hint="default"/>
          <w:lang w:val="en-US" w:eastAsia="zh-CN"/>
        </w:rPr>
      </w:pPr>
      <w:r>
        <w:rPr>
          <w:rFonts w:hint="default"/>
          <w:lang w:val="en-US" w:eastAsia="zh-CN"/>
        </w:rPr>
        <w:t>比赛以“《创新创业实战模拟竞赛对抗平台》软”为指定竞赛平台，采取远程竞赛的方式，即参赛队无需集中，只需在竞赛期间登录竞赛执委会指定的服务器进行操作即可;</w:t>
      </w:r>
    </w:p>
    <w:p>
      <w:pPr>
        <w:pStyle w:val="50"/>
        <w:numPr>
          <w:ilvl w:val="0"/>
          <w:numId w:val="0"/>
        </w:numPr>
        <w:ind w:firstLine="640" w:firstLineChars="200"/>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二、竞赛平台</w:t>
      </w:r>
    </w:p>
    <w:p>
      <w:pPr>
        <w:pStyle w:val="50"/>
        <w:numPr>
          <w:ilvl w:val="0"/>
          <w:numId w:val="0"/>
        </w:numPr>
        <w:ind w:firstLine="560" w:firstLineChars="200"/>
        <w:rPr>
          <w:rFonts w:hint="default"/>
          <w:lang w:val="en-US" w:eastAsia="zh-CN"/>
        </w:rPr>
      </w:pPr>
      <w:r>
        <w:rPr>
          <w:rFonts w:hint="default"/>
          <w:lang w:val="en-US" w:eastAsia="zh-CN"/>
        </w:rPr>
        <w:t>本次竞赛指定软件模拟竞赛平台为浙江精创教育科技有限公司提供的《创新创业实战模拟竞赛对抗平台》软件。该平台是一款以培养具有创业基本素质和开创型个性的人才为目标，培养学生创新思维、创新精神、创业意识、创业能力的软件，以创业者的视角，模拟创业者从0到1的创业过程，创业者通过寻找合伙人组建创业团队来获取货币、知识产权、实物等创业资源，并通过市场环境分析、人力资源管理、产品服务管理、市场营销管理、融资管理、企业清算等流程让学生体验创业之路，锻炼战略决策思维。模拟过程逼近现实的市场环境中，采用AARRR销售漏斗模型、波特五力模型、时间成本函数、生产函数等快速做出决策，全面体验创业的全过程。</w:t>
      </w:r>
    </w:p>
    <w:p>
      <w:pPr>
        <w:pStyle w:val="50"/>
        <w:numPr>
          <w:ilvl w:val="0"/>
          <w:numId w:val="0"/>
        </w:numPr>
        <w:ind w:firstLine="640" w:firstLineChars="200"/>
        <w:rPr>
          <w:rFonts w:hint="default"/>
          <w:lang w:val="en-US" w:eastAsia="zh-CN"/>
        </w:rPr>
      </w:pPr>
      <w:r>
        <w:rPr>
          <w:rFonts w:hint="eastAsia" w:ascii="黑体" w:hAnsi="黑体" w:eastAsia="黑体"/>
          <w:color w:val="000000" w:themeColor="text1"/>
          <w:sz w:val="32"/>
          <w:szCs w:val="32"/>
          <w:lang w:val="en-US" w:eastAsia="zh-CN"/>
          <w14:textFill>
            <w14:solidFill>
              <w14:schemeClr w14:val="tx1"/>
            </w14:solidFill>
          </w14:textFill>
        </w:rPr>
        <w:t>三、竞赛评分及规则</w:t>
      </w:r>
    </w:p>
    <w:p>
      <w:pPr>
        <w:pStyle w:val="50"/>
        <w:numPr>
          <w:ilvl w:val="0"/>
          <w:numId w:val="0"/>
        </w:numPr>
        <w:ind w:firstLine="560" w:firstLineChars="200"/>
        <w:rPr>
          <w:rFonts w:hint="eastAsia"/>
          <w:lang w:val="en-US" w:eastAsia="zh-CN"/>
        </w:rPr>
      </w:pPr>
      <w:r>
        <w:rPr>
          <w:rFonts w:hint="default"/>
          <w:lang w:val="en-US" w:eastAsia="zh-CN"/>
        </w:rPr>
        <w:t>软件模拟赛评分由软件模拟系统自动计算得出，具体为参赛团队软件模拟赛结束时的得分，主要由创业者回报和企业经营能力等多项指标综合判定，详见附件。依据各竞赛分组软件模拟成绩排名结果，产生</w:t>
      </w:r>
      <w:r>
        <w:rPr>
          <w:rFonts w:hint="eastAsia"/>
          <w:lang w:val="en-US" w:eastAsia="zh-CN"/>
        </w:rPr>
        <w:t>辽宁</w:t>
      </w:r>
      <w:r>
        <w:rPr>
          <w:rFonts w:hint="default"/>
          <w:lang w:val="en-US" w:eastAsia="zh-CN"/>
        </w:rPr>
        <w:t>省总决赛入围名单，入围团队获得参加</w:t>
      </w:r>
      <w:r>
        <w:rPr>
          <w:rFonts w:hint="eastAsia"/>
          <w:lang w:val="en-US" w:eastAsia="zh-CN"/>
        </w:rPr>
        <w:t>辽宁</w:t>
      </w:r>
      <w:r>
        <w:rPr>
          <w:rFonts w:hint="default"/>
          <w:lang w:val="en-US" w:eastAsia="zh-CN"/>
        </w:rPr>
        <w:t>省总决赛资格</w:t>
      </w:r>
      <w:r>
        <w:rPr>
          <w:rFonts w:hint="eastAsia"/>
          <w:lang w:val="en-US" w:eastAsia="zh-CN"/>
        </w:rPr>
        <w:t>。</w:t>
      </w:r>
    </w:p>
    <w:p>
      <w:pPr>
        <w:pStyle w:val="50"/>
        <w:numPr>
          <w:ilvl w:val="0"/>
          <w:numId w:val="0"/>
        </w:numPr>
        <w:ind w:firstLine="560" w:firstLineChars="200"/>
        <w:rPr>
          <w:rFonts w:hint="default"/>
          <w:lang w:val="en-US" w:eastAsia="zh-CN"/>
        </w:rPr>
      </w:pPr>
      <w:r>
        <w:rPr>
          <w:rFonts w:hint="default"/>
          <w:lang w:val="en-US" w:eastAsia="zh-CN"/>
        </w:rPr>
        <w:t>软件平台评分计算规则</w:t>
      </w:r>
    </w:p>
    <w:p>
      <w:pPr>
        <w:pStyle w:val="50"/>
        <w:numPr>
          <w:ilvl w:val="0"/>
          <w:numId w:val="0"/>
        </w:numPr>
        <w:ind w:firstLine="560" w:firstLineChars="200"/>
        <w:rPr>
          <w:rFonts w:hint="default"/>
          <w:lang w:val="en-US" w:eastAsia="zh-CN"/>
        </w:rPr>
      </w:pPr>
      <w:r>
        <w:rPr>
          <w:rFonts w:hint="default"/>
          <w:lang w:val="en-US" w:eastAsia="zh-CN"/>
        </w:rPr>
        <w:t>1.评分规则</w:t>
      </w:r>
    </w:p>
    <w:p>
      <w:pPr>
        <w:pStyle w:val="50"/>
        <w:numPr>
          <w:ilvl w:val="0"/>
          <w:numId w:val="0"/>
        </w:numPr>
        <w:ind w:firstLine="560" w:firstLineChars="200"/>
        <w:rPr>
          <w:rFonts w:hint="default"/>
          <w:lang w:val="en-US" w:eastAsia="zh-CN"/>
        </w:rPr>
      </w:pPr>
      <w:r>
        <w:rPr>
          <w:rFonts w:hint="default"/>
          <w:lang w:val="en-US" w:eastAsia="zh-CN"/>
        </w:rPr>
        <w:t>软件模拟赛最终得分=系统最后一年年末评分</w:t>
      </w:r>
    </w:p>
    <w:p>
      <w:pPr>
        <w:pStyle w:val="50"/>
        <w:numPr>
          <w:ilvl w:val="0"/>
          <w:numId w:val="0"/>
        </w:numPr>
        <w:ind w:firstLine="560" w:firstLineChars="200"/>
        <w:rPr>
          <w:rFonts w:hint="default"/>
          <w:lang w:val="en-US" w:eastAsia="zh-CN"/>
        </w:rPr>
      </w:pPr>
      <w:r>
        <w:rPr>
          <w:rFonts w:hint="default"/>
          <w:lang w:val="en-US" w:eastAsia="zh-CN"/>
        </w:rPr>
        <w:t>2.软件模拟赛排名规则</w:t>
      </w:r>
    </w:p>
    <w:p>
      <w:pPr>
        <w:pStyle w:val="50"/>
        <w:numPr>
          <w:ilvl w:val="0"/>
          <w:numId w:val="0"/>
        </w:numPr>
        <w:ind w:firstLine="560" w:firstLineChars="200"/>
        <w:rPr>
          <w:rFonts w:hint="default"/>
          <w:lang w:val="en-US" w:eastAsia="zh-CN"/>
        </w:rPr>
      </w:pPr>
      <w:r>
        <w:rPr>
          <w:rFonts w:hint="default"/>
          <w:lang w:val="en-US" w:eastAsia="zh-CN"/>
        </w:rPr>
        <w:t>(1)未破产排名规则</w:t>
      </w:r>
    </w:p>
    <w:p>
      <w:pPr>
        <w:pStyle w:val="50"/>
        <w:numPr>
          <w:ilvl w:val="0"/>
          <w:numId w:val="0"/>
        </w:numPr>
        <w:ind w:firstLine="560" w:firstLineChars="200"/>
        <w:rPr>
          <w:rFonts w:hint="default"/>
          <w:lang w:val="en-US" w:eastAsia="zh-CN"/>
        </w:rPr>
      </w:pPr>
      <w:r>
        <w:rPr>
          <w:rFonts w:hint="default"/>
          <w:lang w:val="en-US" w:eastAsia="zh-CN"/>
        </w:rPr>
        <w:t>各参赛选手根据所在组内系统最后一年年末评分排名，不设并列名次，如果系统最后一年年末评分相同，则按以下顺序排名:</w:t>
      </w:r>
    </w:p>
    <w:p>
      <w:pPr>
        <w:pStyle w:val="50"/>
        <w:numPr>
          <w:ilvl w:val="0"/>
          <w:numId w:val="0"/>
        </w:numPr>
        <w:ind w:firstLine="560" w:firstLineChars="200"/>
        <w:rPr>
          <w:rFonts w:hint="default"/>
          <w:lang w:val="en-US" w:eastAsia="zh-CN"/>
        </w:rPr>
      </w:pPr>
      <w:r>
        <w:rPr>
          <w:rFonts w:hint="default"/>
          <w:lang w:val="en-US" w:eastAsia="zh-CN"/>
        </w:rPr>
        <w:t>1)如系统最后一年年末评分相同，则比较最后一年所有者权益，总和高的排名靠前。</w:t>
      </w:r>
    </w:p>
    <w:p>
      <w:pPr>
        <w:pStyle w:val="50"/>
        <w:numPr>
          <w:ilvl w:val="0"/>
          <w:numId w:val="0"/>
        </w:numPr>
        <w:ind w:firstLine="560" w:firstLineChars="200"/>
        <w:rPr>
          <w:rFonts w:hint="default"/>
          <w:lang w:val="en-US" w:eastAsia="zh-CN"/>
        </w:rPr>
      </w:pPr>
      <w:r>
        <w:rPr>
          <w:rFonts w:hint="default"/>
          <w:lang w:val="en-US" w:eastAsia="zh-CN"/>
        </w:rPr>
        <w:t>2)如系统最后一年年末评分、所有者权益也相同，则比较最后一年企业净利润，净利润高者排名靠前。</w:t>
      </w:r>
    </w:p>
    <w:p>
      <w:pPr>
        <w:pStyle w:val="50"/>
        <w:numPr>
          <w:ilvl w:val="0"/>
          <w:numId w:val="0"/>
        </w:numPr>
        <w:ind w:firstLine="560" w:firstLineChars="200"/>
        <w:rPr>
          <w:rFonts w:hint="default"/>
          <w:lang w:val="en-US" w:eastAsia="zh-CN"/>
        </w:rPr>
      </w:pPr>
      <w:r>
        <w:rPr>
          <w:rFonts w:hint="default"/>
          <w:lang w:val="en-US" w:eastAsia="zh-CN"/>
        </w:rPr>
        <w:t>(2)破产排名规则</w:t>
      </w:r>
    </w:p>
    <w:p>
      <w:pPr>
        <w:pStyle w:val="50"/>
        <w:numPr>
          <w:ilvl w:val="0"/>
          <w:numId w:val="0"/>
        </w:numPr>
        <w:ind w:firstLine="560" w:firstLineChars="200"/>
        <w:rPr>
          <w:rFonts w:hint="default"/>
          <w:lang w:val="en-US" w:eastAsia="zh-CN"/>
        </w:rPr>
      </w:pPr>
      <w:r>
        <w:rPr>
          <w:rFonts w:hint="default"/>
          <w:lang w:val="en-US" w:eastAsia="zh-CN"/>
        </w:rPr>
        <w:t>竞赛不设融资，参赛学生破产后退出比赛，破产后系统没有排名显示。破产后排名规则如下:</w:t>
      </w:r>
    </w:p>
    <w:p>
      <w:pPr>
        <w:pStyle w:val="50"/>
        <w:numPr>
          <w:ilvl w:val="0"/>
          <w:numId w:val="0"/>
        </w:numPr>
        <w:ind w:firstLine="560" w:firstLineChars="200"/>
        <w:rPr>
          <w:rFonts w:hint="default"/>
          <w:lang w:val="en-US" w:eastAsia="zh-CN"/>
        </w:rPr>
      </w:pPr>
      <w:r>
        <w:rPr>
          <w:rFonts w:hint="default"/>
          <w:lang w:val="en-US" w:eastAsia="zh-CN"/>
        </w:rPr>
        <w:t>1)破产后按破产先后顺序排名，如第一个破产的排名倒数第一，第二个破产的排名倒数第二，以此类推。</w:t>
      </w:r>
    </w:p>
    <w:p>
      <w:pPr>
        <w:pStyle w:val="50"/>
        <w:numPr>
          <w:ilvl w:val="0"/>
          <w:numId w:val="0"/>
        </w:numPr>
        <w:ind w:firstLine="560" w:firstLineChars="200"/>
        <w:rPr>
          <w:rFonts w:hint="default"/>
          <w:lang w:val="en-US" w:eastAsia="zh-CN"/>
        </w:rPr>
      </w:pPr>
      <w:r>
        <w:rPr>
          <w:rFonts w:hint="default"/>
          <w:lang w:val="en-US" w:eastAsia="zh-CN"/>
        </w:rPr>
        <w:t>2)如有两人以上在同一年同一季度内破产的，排名按破产的上一年系统评分来定。上一年系统评分高的排名靠前。</w:t>
      </w:r>
    </w:p>
    <w:p>
      <w:pPr>
        <w:pStyle w:val="50"/>
        <w:numPr>
          <w:ilvl w:val="0"/>
          <w:numId w:val="0"/>
        </w:numPr>
        <w:ind w:firstLine="560" w:firstLineChars="200"/>
        <w:rPr>
          <w:rFonts w:hint="default"/>
          <w:lang w:val="en-US" w:eastAsia="zh-CN"/>
        </w:rPr>
      </w:pPr>
      <w:r>
        <w:rPr>
          <w:rFonts w:hint="default"/>
          <w:lang w:val="en-US" w:eastAsia="zh-CN"/>
        </w:rPr>
        <w:t>3)如果有两人以上在第一年同一季度内破产的，则比较破产前所有者权益情况，所有者权益高的排名靠前。</w:t>
      </w:r>
    </w:p>
    <w:p>
      <w:pPr>
        <w:pStyle w:val="43"/>
        <w:keepNext w:val="0"/>
        <w:keepLines w:val="0"/>
        <w:pageBreakBefore w:val="0"/>
        <w:kinsoku/>
        <w:wordWrap/>
        <w:overflowPunct/>
        <w:topLinePunct w:val="0"/>
        <w:autoSpaceDE w:val="0"/>
        <w:autoSpaceDN w:val="0"/>
        <w:bidi w:val="0"/>
        <w:adjustRightInd w:val="0"/>
        <w:snapToGrid w:val="0"/>
        <w:spacing w:beforeAutospacing="0" w:afterAutospacing="0" w:line="560" w:lineRule="exact"/>
        <w:ind w:firstLine="482" w:firstLineChars="150"/>
        <w:jc w:val="center"/>
        <w:textAlignment w:val="baseline"/>
        <w:rPr>
          <w:rFonts w:hint="default" w:ascii="仿宋_GB2312" w:hAnsi="微软雅黑" w:eastAsia="仿宋_GB2312" w:cs="宋体"/>
          <w:b/>
          <w:bCs/>
          <w:color w:val="auto"/>
          <w:sz w:val="32"/>
          <w:szCs w:val="32"/>
        </w:rPr>
      </w:pPr>
      <w:r>
        <w:rPr>
          <w:rFonts w:hint="eastAsia" w:ascii="仿宋_GB2312" w:hAnsi="微软雅黑" w:eastAsia="仿宋_GB2312" w:cs="宋体"/>
          <w:b/>
          <w:bCs/>
          <w:color w:val="auto"/>
          <w:sz w:val="32"/>
          <w:szCs w:val="32"/>
          <w:lang w:val="en-US" w:eastAsia="zh-CN"/>
        </w:rPr>
        <w:t>D-3.</w:t>
      </w:r>
      <w:r>
        <w:rPr>
          <w:rFonts w:hint="default" w:ascii="仿宋_GB2312" w:hAnsi="微软雅黑" w:eastAsia="仿宋_GB2312" w:cs="宋体"/>
          <w:b/>
          <w:bCs/>
          <w:color w:val="auto"/>
          <w:sz w:val="32"/>
          <w:szCs w:val="32"/>
        </w:rPr>
        <w:t>流通业经营模拟赛道</w:t>
      </w:r>
    </w:p>
    <w:p>
      <w:pPr>
        <w:pStyle w:val="51"/>
        <w:numPr>
          <w:ilvl w:val="0"/>
          <w:numId w:val="0"/>
        </w:numPr>
        <w:spacing w:line="240" w:lineRule="auto"/>
        <w:rPr>
          <w:rFonts w:hint="default"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一、竞赛目的</w:t>
      </w:r>
    </w:p>
    <w:p>
      <w:pPr>
        <w:pStyle w:val="50"/>
        <w:numPr>
          <w:ilvl w:val="0"/>
          <w:numId w:val="0"/>
        </w:numPr>
        <w:rPr>
          <w:rFonts w:hint="eastAsia"/>
          <w:lang w:val="en-US" w:eastAsia="zh-CN"/>
        </w:rPr>
      </w:pPr>
      <w:r>
        <w:rPr>
          <w:rFonts w:hint="default"/>
          <w:lang w:val="en-US" w:eastAsia="zh-CN"/>
        </w:rPr>
        <w:t>通过企业经营案例分析过程，追寻行业、企业的最新动态，关注行业、企业发展的热点，让参赛学生了解成功企业的经验、失败企业的教训，了解更多的企业实时动态及相关的国家政策，案例内容涉及市场、财务、战略管理等领域要求参赛团队分析一个案例并以正式报告的形式提供解决案，并做现场展示，体现了一个思维全过程，提高参赛者发现问题、展示参赛者分析能力、解决问题的能力、团队精神及沟通技巧的舞台，以提高参赛者的综合素质</w:t>
      </w:r>
      <w:r>
        <w:rPr>
          <w:rFonts w:hint="eastAsia"/>
          <w:lang w:val="en-US" w:eastAsia="zh-CN"/>
        </w:rPr>
        <w:t>。</w:t>
      </w:r>
    </w:p>
    <w:p>
      <w:pPr>
        <w:pStyle w:val="51"/>
        <w:numPr>
          <w:ilvl w:val="0"/>
          <w:numId w:val="0"/>
        </w:numPr>
        <w:spacing w:line="240" w:lineRule="auto"/>
        <w:rPr>
          <w:rFonts w:hint="default"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二</w:t>
      </w:r>
      <w:r>
        <w:rPr>
          <w:rFonts w:hint="default" w:ascii="黑体" w:hAnsi="黑体" w:eastAsia="黑体"/>
          <w:color w:val="000000" w:themeColor="text1"/>
          <w:sz w:val="32"/>
          <w:szCs w:val="32"/>
          <w:lang w:val="en-US" w:eastAsia="zh-CN"/>
          <w14:textFill>
            <w14:solidFill>
              <w14:schemeClr w14:val="tx1"/>
            </w14:solidFill>
          </w14:textFill>
        </w:rPr>
        <w:t>、竞赛形式及规则</w:t>
      </w:r>
    </w:p>
    <w:p>
      <w:pPr>
        <w:pStyle w:val="50"/>
        <w:numPr>
          <w:ilvl w:val="0"/>
          <w:numId w:val="0"/>
        </w:numPr>
        <w:rPr>
          <w:rFonts w:hint="default"/>
          <w:lang w:val="en-US" w:eastAsia="zh-CN"/>
        </w:rPr>
      </w:pPr>
      <w:r>
        <w:rPr>
          <w:rFonts w:hint="default"/>
          <w:lang w:val="en-US" w:eastAsia="zh-CN"/>
        </w:rPr>
        <w:t>本次竞赛为企业经营案例分析赛，竞赛为团体赛形式由各院校参赛选手自行组成团队(每个团队由 3-5名选手1-2名指导教师组成，选手不可跨校组队，不可参加多个队伍;指导教师可指导多队，不可跨校指导)，竞赛语言为中文(普通话)，要求参赛队自选企业进行经营案例分析(包括批发业、零售业、餐饮业、物流业等流通行业企业，所选企业应较为典型，为大家所熟悉)。</w:t>
      </w:r>
    </w:p>
    <w:p>
      <w:pPr>
        <w:pStyle w:val="51"/>
        <w:numPr>
          <w:ilvl w:val="0"/>
          <w:numId w:val="2"/>
        </w:numPr>
        <w:spacing w:line="240" w:lineRule="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分析报告要求</w:t>
      </w:r>
    </w:p>
    <w:p>
      <w:pPr>
        <w:pStyle w:val="50"/>
        <w:numPr>
          <w:ilvl w:val="0"/>
          <w:numId w:val="0"/>
        </w:numPr>
        <w:rPr>
          <w:rFonts w:hint="default"/>
          <w:lang w:val="en-US" w:eastAsia="zh-CN"/>
        </w:rPr>
      </w:pPr>
      <w:r>
        <w:rPr>
          <w:rFonts w:hint="default"/>
          <w:lang w:val="en-US" w:eastAsia="zh-CN"/>
        </w:rPr>
        <w:t>(一)书面报告</w:t>
      </w:r>
    </w:p>
    <w:p>
      <w:pPr>
        <w:pStyle w:val="50"/>
        <w:numPr>
          <w:ilvl w:val="0"/>
          <w:numId w:val="0"/>
        </w:numPr>
        <w:rPr>
          <w:rFonts w:hint="default"/>
          <w:lang w:val="en-US" w:eastAsia="zh-CN"/>
        </w:rPr>
      </w:pPr>
      <w:r>
        <w:rPr>
          <w:rFonts w:hint="default"/>
          <w:lang w:val="en-US" w:eastAsia="zh-CN"/>
        </w:rPr>
        <w:t>书面报告应该包含但不限于以下因素:</w:t>
      </w:r>
    </w:p>
    <w:p>
      <w:pPr>
        <w:pStyle w:val="50"/>
        <w:numPr>
          <w:ilvl w:val="0"/>
          <w:numId w:val="0"/>
        </w:numPr>
        <w:rPr>
          <w:rFonts w:hint="default"/>
          <w:lang w:val="en-US" w:eastAsia="zh-CN"/>
        </w:rPr>
      </w:pPr>
      <w:r>
        <w:rPr>
          <w:rFonts w:hint="default"/>
          <w:lang w:val="en-US" w:eastAsia="zh-CN"/>
        </w:rPr>
        <w:t>1.目录</w:t>
      </w:r>
    </w:p>
    <w:p>
      <w:pPr>
        <w:pStyle w:val="50"/>
        <w:numPr>
          <w:ilvl w:val="0"/>
          <w:numId w:val="0"/>
        </w:numPr>
        <w:rPr>
          <w:rFonts w:hint="default"/>
          <w:lang w:val="en-US" w:eastAsia="zh-CN"/>
        </w:rPr>
      </w:pPr>
      <w:r>
        <w:rPr>
          <w:rFonts w:hint="default"/>
          <w:lang w:val="en-US" w:eastAsia="zh-CN"/>
        </w:rPr>
        <w:t>2.概要</w:t>
      </w:r>
    </w:p>
    <w:p>
      <w:pPr>
        <w:pStyle w:val="50"/>
        <w:numPr>
          <w:ilvl w:val="0"/>
          <w:numId w:val="0"/>
        </w:numPr>
        <w:rPr>
          <w:rFonts w:hint="default"/>
          <w:lang w:val="en-US" w:eastAsia="zh-CN"/>
        </w:rPr>
      </w:pPr>
      <w:r>
        <w:rPr>
          <w:rFonts w:hint="default"/>
          <w:lang w:val="en-US" w:eastAsia="zh-CN"/>
        </w:rPr>
        <w:t>3.引言</w:t>
      </w:r>
    </w:p>
    <w:p>
      <w:pPr>
        <w:pStyle w:val="50"/>
        <w:numPr>
          <w:ilvl w:val="0"/>
          <w:numId w:val="0"/>
        </w:numPr>
        <w:rPr>
          <w:rFonts w:hint="default"/>
          <w:lang w:val="en-US" w:eastAsia="zh-CN"/>
        </w:rPr>
      </w:pPr>
      <w:r>
        <w:rPr>
          <w:rFonts w:hint="default"/>
          <w:lang w:val="en-US" w:eastAsia="zh-CN"/>
        </w:rPr>
        <w:t>4.案例简介</w:t>
      </w:r>
    </w:p>
    <w:p>
      <w:pPr>
        <w:pStyle w:val="50"/>
        <w:numPr>
          <w:ilvl w:val="0"/>
          <w:numId w:val="0"/>
        </w:numPr>
        <w:rPr>
          <w:rFonts w:hint="default"/>
          <w:lang w:val="en-US" w:eastAsia="zh-CN"/>
        </w:rPr>
      </w:pPr>
      <w:r>
        <w:rPr>
          <w:rFonts w:hint="default"/>
          <w:lang w:val="en-US" w:eastAsia="zh-CN"/>
        </w:rPr>
        <w:t>5.企业内部分析</w:t>
      </w:r>
    </w:p>
    <w:p>
      <w:pPr>
        <w:pStyle w:val="50"/>
        <w:numPr>
          <w:ilvl w:val="0"/>
          <w:numId w:val="0"/>
        </w:numPr>
        <w:rPr>
          <w:rFonts w:hint="default"/>
          <w:lang w:val="en-US" w:eastAsia="zh-CN"/>
        </w:rPr>
      </w:pPr>
      <w:r>
        <w:rPr>
          <w:rFonts w:hint="default"/>
          <w:lang w:val="en-US" w:eastAsia="zh-CN"/>
        </w:rPr>
        <w:t>6.企业外部分析</w:t>
      </w:r>
    </w:p>
    <w:p>
      <w:pPr>
        <w:pStyle w:val="50"/>
        <w:numPr>
          <w:ilvl w:val="0"/>
          <w:numId w:val="0"/>
        </w:numPr>
        <w:rPr>
          <w:rFonts w:hint="default"/>
          <w:lang w:val="en-US" w:eastAsia="zh-CN"/>
        </w:rPr>
      </w:pPr>
      <w:r>
        <w:rPr>
          <w:rFonts w:hint="default"/>
          <w:lang w:val="en-US" w:eastAsia="zh-CN"/>
        </w:rPr>
        <w:t>7.企业经营模式</w:t>
      </w:r>
    </w:p>
    <w:p>
      <w:pPr>
        <w:pStyle w:val="50"/>
        <w:numPr>
          <w:ilvl w:val="0"/>
          <w:numId w:val="0"/>
        </w:numPr>
        <w:rPr>
          <w:rFonts w:hint="default"/>
          <w:lang w:val="en-US" w:eastAsia="zh-CN"/>
        </w:rPr>
      </w:pPr>
      <w:r>
        <w:rPr>
          <w:rFonts w:hint="default"/>
          <w:lang w:val="en-US" w:eastAsia="zh-CN"/>
        </w:rPr>
        <w:t>8.发展瓶颈</w:t>
      </w:r>
    </w:p>
    <w:p>
      <w:pPr>
        <w:pStyle w:val="50"/>
        <w:numPr>
          <w:ilvl w:val="0"/>
          <w:numId w:val="0"/>
        </w:numPr>
        <w:rPr>
          <w:rFonts w:hint="default"/>
          <w:lang w:val="en-US" w:eastAsia="zh-CN"/>
        </w:rPr>
      </w:pPr>
      <w:r>
        <w:rPr>
          <w:rFonts w:hint="default"/>
          <w:lang w:val="en-US" w:eastAsia="zh-CN"/>
        </w:rPr>
        <w:t>9. 结论与启示</w:t>
      </w:r>
    </w:p>
    <w:p>
      <w:pPr>
        <w:pStyle w:val="50"/>
        <w:numPr>
          <w:ilvl w:val="0"/>
          <w:numId w:val="0"/>
        </w:numPr>
        <w:rPr>
          <w:rFonts w:hint="default"/>
          <w:lang w:val="en-US" w:eastAsia="zh-CN"/>
        </w:rPr>
      </w:pPr>
      <w:r>
        <w:rPr>
          <w:rFonts w:hint="default"/>
          <w:lang w:val="en-US" w:eastAsia="zh-CN"/>
        </w:rPr>
        <w:t>10.附录及参考资料</w:t>
      </w:r>
    </w:p>
    <w:p>
      <w:pPr>
        <w:pStyle w:val="50"/>
        <w:numPr>
          <w:ilvl w:val="0"/>
          <w:numId w:val="0"/>
        </w:numPr>
        <w:rPr>
          <w:rFonts w:hint="default"/>
          <w:lang w:val="en-US" w:eastAsia="zh-CN"/>
        </w:rPr>
      </w:pPr>
      <w:r>
        <w:rPr>
          <w:rFonts w:hint="default"/>
          <w:lang w:val="en-US" w:eastAsia="zh-CN"/>
        </w:rPr>
        <w:t>(二)作品递交格式要求</w:t>
      </w:r>
    </w:p>
    <w:p>
      <w:pPr>
        <w:pStyle w:val="50"/>
        <w:numPr>
          <w:ilvl w:val="0"/>
          <w:numId w:val="0"/>
        </w:numPr>
        <w:rPr>
          <w:rFonts w:hint="default"/>
          <w:lang w:val="en-US" w:eastAsia="zh-CN"/>
        </w:rPr>
      </w:pPr>
      <w:r>
        <w:rPr>
          <w:rFonts w:hint="default"/>
          <w:lang w:val="en-US" w:eastAsia="zh-CN"/>
        </w:rPr>
        <w:t>1.每一个团队递交一份书面报告(PDF 版本，PDF应当不少于 3000 字，配套PPT应当不少于20页)。每份书面报告应当包含封面，封面内容需包含作品名称，团队名称，队长姓名</w:t>
      </w:r>
    </w:p>
    <w:p>
      <w:pPr>
        <w:pStyle w:val="50"/>
        <w:numPr>
          <w:ilvl w:val="0"/>
          <w:numId w:val="0"/>
        </w:numPr>
        <w:rPr>
          <w:rFonts w:hint="default"/>
          <w:lang w:val="en-US" w:eastAsia="zh-CN"/>
        </w:rPr>
      </w:pPr>
      <w:r>
        <w:rPr>
          <w:rFonts w:hint="default"/>
          <w:lang w:val="en-US" w:eastAsia="zh-CN"/>
        </w:rPr>
        <w:t>2.策划案封面和正文内容页不应当出现所在院校的名称;</w:t>
      </w:r>
    </w:p>
    <w:p>
      <w:pPr>
        <w:pStyle w:val="50"/>
        <w:numPr>
          <w:ilvl w:val="0"/>
          <w:numId w:val="0"/>
        </w:numPr>
        <w:rPr>
          <w:rFonts w:hint="default"/>
          <w:lang w:val="en-US" w:eastAsia="zh-CN"/>
        </w:rPr>
      </w:pPr>
      <w:r>
        <w:rPr>
          <w:rFonts w:hint="default"/>
          <w:lang w:val="en-US" w:eastAsia="zh-CN"/>
        </w:rPr>
        <w:t>3. PDF 和 PPT 文档递交命名格式: 学校名称-作品名称-团队名称-队长名字;</w:t>
      </w:r>
    </w:p>
    <w:p>
      <w:pPr>
        <w:pStyle w:val="50"/>
        <w:numPr>
          <w:ilvl w:val="0"/>
          <w:numId w:val="0"/>
        </w:numPr>
        <w:rPr>
          <w:rFonts w:hint="default"/>
          <w:lang w:val="en-US" w:eastAsia="zh-CN"/>
        </w:rPr>
      </w:pPr>
      <w:r>
        <w:rPr>
          <w:rFonts w:hint="default"/>
          <w:lang w:val="en-US" w:eastAsia="zh-CN"/>
        </w:rPr>
        <w:t>注:书面报告严禁抄袭，一经发现，取消团队参赛资格并对团队所在院校予以警告。</w:t>
      </w:r>
    </w:p>
    <w:p>
      <w:pPr>
        <w:pStyle w:val="51"/>
        <w:numPr>
          <w:ilvl w:val="0"/>
          <w:numId w:val="2"/>
        </w:numPr>
        <w:spacing w:line="240" w:lineRule="auto"/>
        <w:ind w:left="0" w:leftChars="0" w:firstLine="200" w:firstLineChars="0"/>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评分细则</w:t>
      </w:r>
    </w:p>
    <w:p>
      <w:pPr>
        <w:pStyle w:val="50"/>
        <w:numPr>
          <w:ilvl w:val="0"/>
          <w:numId w:val="0"/>
        </w:numPr>
        <w:rPr>
          <w:rFonts w:hint="default"/>
          <w:lang w:val="en-US" w:eastAsia="zh-CN"/>
        </w:rPr>
      </w:pPr>
      <w:r>
        <w:rPr>
          <w:rFonts w:hint="default"/>
          <w:lang w:val="en-US" w:eastAsia="zh-CN"/>
        </w:rPr>
        <w:t>(一)书面报告(60分)</w:t>
      </w:r>
    </w:p>
    <w:p>
      <w:pPr>
        <w:pStyle w:val="50"/>
        <w:numPr>
          <w:ilvl w:val="0"/>
          <w:numId w:val="0"/>
        </w:numPr>
        <w:rPr>
          <w:rFonts w:hint="default"/>
          <w:lang w:val="en-US" w:eastAsia="zh-CN"/>
        </w:rPr>
      </w:pPr>
      <w:r>
        <w:rPr>
          <w:rFonts w:hint="default"/>
          <w:lang w:val="en-US" w:eastAsia="zh-CN"/>
        </w:rPr>
        <w:t>1.分析对象:针对企业在参赛队伍所在地区的具体发展状况及实际现状加以分析，体现地区性的发展特点(10分)</w:t>
      </w:r>
    </w:p>
    <w:p>
      <w:pPr>
        <w:pStyle w:val="50"/>
        <w:numPr>
          <w:ilvl w:val="0"/>
          <w:numId w:val="0"/>
        </w:numPr>
        <w:rPr>
          <w:rFonts w:hint="default"/>
          <w:lang w:val="en-US" w:eastAsia="zh-CN"/>
        </w:rPr>
      </w:pPr>
      <w:r>
        <w:rPr>
          <w:rFonts w:hint="default"/>
          <w:lang w:val="en-US" w:eastAsia="zh-CN"/>
        </w:rPr>
        <w:t>2.分析视角:从新颖独特的视角对案例提出合理的观点(10分)</w:t>
      </w:r>
    </w:p>
    <w:p>
      <w:pPr>
        <w:pStyle w:val="50"/>
        <w:numPr>
          <w:ilvl w:val="0"/>
          <w:numId w:val="0"/>
        </w:numPr>
        <w:rPr>
          <w:rFonts w:hint="default"/>
          <w:lang w:val="en-US" w:eastAsia="zh-CN"/>
        </w:rPr>
      </w:pPr>
      <w:r>
        <w:rPr>
          <w:rFonts w:hint="default"/>
          <w:lang w:val="en-US" w:eastAsia="zh-CN"/>
        </w:rPr>
        <w:t>3.分析框架:观点明确、思路清晰、层次分明、思维开阔、论证充分(20分)</w:t>
      </w:r>
    </w:p>
    <w:p>
      <w:pPr>
        <w:pStyle w:val="50"/>
        <w:numPr>
          <w:ilvl w:val="0"/>
          <w:numId w:val="0"/>
        </w:numPr>
        <w:rPr>
          <w:rFonts w:hint="default"/>
          <w:lang w:val="en-US" w:eastAsia="zh-CN"/>
        </w:rPr>
      </w:pPr>
      <w:r>
        <w:rPr>
          <w:rFonts w:hint="default"/>
          <w:lang w:val="en-US" w:eastAsia="zh-CN"/>
        </w:rPr>
        <w:t>4.分析方法:运用前沿、创新的分析方法和分析工具展开分析(10分)</w:t>
      </w:r>
    </w:p>
    <w:p>
      <w:pPr>
        <w:pStyle w:val="50"/>
        <w:numPr>
          <w:ilvl w:val="0"/>
          <w:numId w:val="0"/>
        </w:numPr>
        <w:rPr>
          <w:rFonts w:hint="default"/>
          <w:lang w:val="en-US" w:eastAsia="zh-CN"/>
        </w:rPr>
      </w:pPr>
      <w:r>
        <w:rPr>
          <w:rFonts w:hint="default"/>
          <w:lang w:val="en-US" w:eastAsia="zh-CN"/>
        </w:rPr>
        <w:t>5.分析结论:提出的建议具备一定合理性、可行性、创新性和现实意义(10分)</w:t>
      </w:r>
    </w:p>
    <w:p>
      <w:pPr>
        <w:pStyle w:val="50"/>
        <w:numPr>
          <w:ilvl w:val="0"/>
          <w:numId w:val="0"/>
        </w:numPr>
        <w:rPr>
          <w:rFonts w:hint="default"/>
          <w:lang w:val="en-US" w:eastAsia="zh-CN"/>
        </w:rPr>
      </w:pPr>
      <w:r>
        <w:rPr>
          <w:rFonts w:hint="default"/>
          <w:lang w:val="en-US" w:eastAsia="zh-CN"/>
        </w:rPr>
        <w:t>(二)陈述与答辩(40分)</w:t>
      </w:r>
    </w:p>
    <w:p>
      <w:pPr>
        <w:pStyle w:val="50"/>
        <w:numPr>
          <w:ilvl w:val="0"/>
          <w:numId w:val="0"/>
        </w:numPr>
        <w:rPr>
          <w:rFonts w:hint="default"/>
          <w:lang w:val="en-US" w:eastAsia="zh-CN"/>
        </w:rPr>
      </w:pPr>
      <w:r>
        <w:rPr>
          <w:rFonts w:hint="default"/>
          <w:lang w:val="en-US" w:eastAsia="zh-CN"/>
        </w:rPr>
        <w:t>1.内容完整程度(5分)</w:t>
      </w:r>
    </w:p>
    <w:p>
      <w:pPr>
        <w:pStyle w:val="50"/>
        <w:numPr>
          <w:ilvl w:val="0"/>
          <w:numId w:val="0"/>
        </w:numPr>
        <w:rPr>
          <w:rFonts w:hint="default"/>
          <w:lang w:val="en-US" w:eastAsia="zh-CN"/>
        </w:rPr>
      </w:pPr>
      <w:r>
        <w:rPr>
          <w:rFonts w:hint="default"/>
          <w:lang w:val="en-US" w:eastAsia="zh-CN"/>
        </w:rPr>
        <w:t>2.评委提问的问题识别(5分)</w:t>
      </w:r>
    </w:p>
    <w:p>
      <w:pPr>
        <w:pStyle w:val="50"/>
        <w:numPr>
          <w:ilvl w:val="0"/>
          <w:numId w:val="0"/>
        </w:numPr>
        <w:rPr>
          <w:rFonts w:hint="default"/>
          <w:lang w:val="en-US" w:eastAsia="zh-CN"/>
        </w:rPr>
      </w:pPr>
      <w:r>
        <w:rPr>
          <w:rFonts w:hint="default"/>
          <w:lang w:val="en-US" w:eastAsia="zh-CN"/>
        </w:rPr>
        <w:t>3.论述和决策确认的清晰程度(5分)</w:t>
      </w:r>
    </w:p>
    <w:p>
      <w:pPr>
        <w:pStyle w:val="50"/>
        <w:numPr>
          <w:ilvl w:val="0"/>
          <w:numId w:val="0"/>
        </w:numPr>
        <w:rPr>
          <w:rFonts w:hint="default"/>
          <w:lang w:val="en-US" w:eastAsia="zh-CN"/>
        </w:rPr>
      </w:pPr>
      <w:r>
        <w:rPr>
          <w:rFonts w:hint="default"/>
          <w:lang w:val="en-US" w:eastAsia="zh-CN"/>
        </w:rPr>
        <w:t>4.结论的正确有效性(5分)</w:t>
      </w:r>
    </w:p>
    <w:p>
      <w:pPr>
        <w:pStyle w:val="50"/>
        <w:numPr>
          <w:ilvl w:val="0"/>
          <w:numId w:val="0"/>
        </w:numPr>
        <w:rPr>
          <w:rFonts w:hint="default"/>
          <w:lang w:val="en-US" w:eastAsia="zh-CN"/>
        </w:rPr>
      </w:pPr>
      <w:r>
        <w:rPr>
          <w:rFonts w:hint="default"/>
          <w:lang w:val="en-US" w:eastAsia="zh-CN"/>
        </w:rPr>
        <w:t>5.对问题的切题回应度(5分)</w:t>
      </w:r>
    </w:p>
    <w:p>
      <w:pPr>
        <w:pStyle w:val="50"/>
        <w:numPr>
          <w:ilvl w:val="0"/>
          <w:numId w:val="0"/>
        </w:numPr>
        <w:rPr>
          <w:rFonts w:hint="default"/>
          <w:lang w:val="en-US" w:eastAsia="zh-CN"/>
        </w:rPr>
      </w:pPr>
      <w:r>
        <w:rPr>
          <w:rFonts w:hint="default"/>
          <w:lang w:val="en-US" w:eastAsia="zh-CN"/>
        </w:rPr>
        <w:t>6.演讲专业程度(包括视觉辅助工具的使用，例如PowerPoint)(5分)</w:t>
      </w:r>
    </w:p>
    <w:p>
      <w:pPr>
        <w:pStyle w:val="50"/>
        <w:numPr>
          <w:ilvl w:val="0"/>
          <w:numId w:val="0"/>
        </w:numPr>
        <w:rPr>
          <w:rFonts w:hint="default"/>
          <w:lang w:val="en-US" w:eastAsia="zh-CN"/>
        </w:rPr>
      </w:pPr>
      <w:r>
        <w:rPr>
          <w:rFonts w:hint="default"/>
          <w:lang w:val="en-US" w:eastAsia="zh-CN"/>
        </w:rPr>
        <w:t>7.谈吐清晰有条理，举止得体(5分)</w:t>
      </w:r>
    </w:p>
    <w:p>
      <w:pPr>
        <w:pStyle w:val="50"/>
        <w:numPr>
          <w:ilvl w:val="0"/>
          <w:numId w:val="0"/>
        </w:numPr>
        <w:rPr>
          <w:rFonts w:hint="default"/>
          <w:lang w:val="en-US" w:eastAsia="zh-CN"/>
        </w:rPr>
      </w:pPr>
      <w:r>
        <w:rPr>
          <w:rFonts w:hint="default"/>
          <w:lang w:val="en-US" w:eastAsia="zh-CN"/>
        </w:rPr>
        <w:t>8.陈述环节时间分配和团队合作配合程度(5分)</w:t>
      </w:r>
    </w:p>
    <w:p>
      <w:pPr>
        <w:pStyle w:val="50"/>
        <w:numPr>
          <w:ilvl w:val="0"/>
          <w:numId w:val="0"/>
        </w:numPr>
        <w:rPr>
          <w:rFonts w:hint="default"/>
          <w:lang w:val="en-US" w:eastAsia="zh-CN"/>
        </w:rPr>
      </w:pPr>
    </w:p>
    <w:p>
      <w:pPr>
        <w:pStyle w:val="50"/>
        <w:numPr>
          <w:ilvl w:val="0"/>
          <w:numId w:val="0"/>
        </w:numPr>
        <w:rPr>
          <w:rFonts w:hint="default"/>
          <w:lang w:val="en-US" w:eastAsia="zh-CN"/>
        </w:rPr>
      </w:pPr>
    </w:p>
    <w:p>
      <w:pPr>
        <w:pStyle w:val="50"/>
        <w:numPr>
          <w:ilvl w:val="0"/>
          <w:numId w:val="0"/>
        </w:numPr>
        <w:rPr>
          <w:rFonts w:hint="default"/>
          <w:lang w:val="en-US" w:eastAsia="zh-CN"/>
        </w:rPr>
      </w:pPr>
    </w:p>
    <w:p>
      <w:pPr>
        <w:pStyle w:val="50"/>
        <w:numPr>
          <w:ilvl w:val="0"/>
          <w:numId w:val="0"/>
        </w:numPr>
        <w:rPr>
          <w:rFonts w:hint="default"/>
          <w:lang w:val="en-US" w:eastAsia="zh-CN"/>
        </w:rPr>
      </w:pPr>
    </w:p>
    <w:p>
      <w:pPr>
        <w:pStyle w:val="50"/>
        <w:numPr>
          <w:ilvl w:val="0"/>
          <w:numId w:val="0"/>
        </w:numPr>
        <w:rPr>
          <w:rFonts w:hint="default"/>
          <w:lang w:val="en-US" w:eastAsia="zh-CN"/>
        </w:rPr>
      </w:pPr>
    </w:p>
    <w:p>
      <w:pPr>
        <w:pStyle w:val="50"/>
        <w:numPr>
          <w:ilvl w:val="0"/>
          <w:numId w:val="0"/>
        </w:numPr>
        <w:rPr>
          <w:rFonts w:hint="default"/>
          <w:lang w:val="en-US" w:eastAsia="zh-CN"/>
        </w:rPr>
      </w:pPr>
    </w:p>
    <w:p>
      <w:pPr>
        <w:pStyle w:val="50"/>
        <w:numPr>
          <w:ilvl w:val="0"/>
          <w:numId w:val="0"/>
        </w:numPr>
        <w:rPr>
          <w:rFonts w:hint="default"/>
          <w:lang w:val="en-US" w:eastAsia="zh-CN"/>
        </w:rPr>
      </w:pPr>
    </w:p>
    <w:p>
      <w:pPr>
        <w:pStyle w:val="50"/>
        <w:numPr>
          <w:ilvl w:val="0"/>
          <w:numId w:val="0"/>
        </w:numPr>
        <w:rPr>
          <w:rFonts w:hint="default"/>
          <w:lang w:val="en-US" w:eastAsia="zh-CN"/>
        </w:rPr>
      </w:pPr>
    </w:p>
    <w:p>
      <w:pPr>
        <w:pStyle w:val="50"/>
        <w:numPr>
          <w:ilvl w:val="0"/>
          <w:numId w:val="0"/>
        </w:numPr>
        <w:rPr>
          <w:rFonts w:hint="default"/>
          <w:lang w:val="en-US" w:eastAsia="zh-CN"/>
        </w:rPr>
      </w:pPr>
    </w:p>
    <w:p>
      <w:pPr>
        <w:rPr>
          <w:rFonts w:hint="default"/>
          <w:lang w:val="en-US" w:eastAsia="zh-CN"/>
        </w:rPr>
      </w:pPr>
      <w:r>
        <w:rPr>
          <w:rFonts w:hint="default"/>
          <w:lang w:val="en-US" w:eastAsia="zh-CN"/>
        </w:rPr>
        <w:br w:type="page"/>
      </w:r>
    </w:p>
    <w:p>
      <w:pPr>
        <w:pStyle w:val="43"/>
        <w:keepNext w:val="0"/>
        <w:keepLines w:val="0"/>
        <w:pageBreakBefore w:val="0"/>
        <w:kinsoku/>
        <w:wordWrap/>
        <w:overflowPunct/>
        <w:topLinePunct w:val="0"/>
        <w:autoSpaceDE w:val="0"/>
        <w:autoSpaceDN w:val="0"/>
        <w:bidi w:val="0"/>
        <w:adjustRightInd w:val="0"/>
        <w:snapToGrid w:val="0"/>
        <w:spacing w:beforeAutospacing="0" w:afterAutospacing="0" w:line="560" w:lineRule="exact"/>
        <w:ind w:firstLine="2409" w:firstLineChars="750"/>
        <w:textAlignment w:val="baseline"/>
        <w:rPr>
          <w:rFonts w:hint="default" w:ascii="仿宋_GB2312" w:hAnsi="微软雅黑" w:eastAsia="仿宋_GB2312" w:cs="宋体"/>
          <w:b/>
          <w:bCs/>
          <w:color w:val="auto"/>
          <w:sz w:val="32"/>
          <w:szCs w:val="32"/>
        </w:rPr>
      </w:pPr>
      <w:r>
        <w:rPr>
          <w:rFonts w:hint="eastAsia" w:ascii="仿宋_GB2312" w:hAnsi="微软雅黑" w:eastAsia="仿宋_GB2312" w:cs="宋体"/>
          <w:b/>
          <w:bCs/>
          <w:color w:val="auto"/>
          <w:sz w:val="32"/>
          <w:szCs w:val="32"/>
          <w:lang w:val="en-US" w:eastAsia="zh-CN"/>
        </w:rPr>
        <w:t>D-4.营销</w:t>
      </w:r>
      <w:r>
        <w:rPr>
          <w:rFonts w:hint="default" w:ascii="仿宋_GB2312" w:hAnsi="微软雅黑" w:eastAsia="仿宋_GB2312" w:cs="宋体"/>
          <w:b/>
          <w:bCs/>
          <w:color w:val="auto"/>
          <w:sz w:val="32"/>
          <w:szCs w:val="32"/>
        </w:rPr>
        <w:t>模拟</w:t>
      </w:r>
      <w:r>
        <w:rPr>
          <w:rFonts w:hint="eastAsia" w:ascii="仿宋_GB2312" w:hAnsi="微软雅黑" w:eastAsia="仿宋_GB2312" w:cs="宋体"/>
          <w:b/>
          <w:bCs/>
          <w:color w:val="auto"/>
          <w:sz w:val="32"/>
          <w:szCs w:val="32"/>
          <w:lang w:val="en-US" w:eastAsia="zh-CN"/>
        </w:rPr>
        <w:t>决策</w:t>
      </w:r>
      <w:r>
        <w:rPr>
          <w:rFonts w:hint="default" w:ascii="仿宋_GB2312" w:hAnsi="微软雅黑" w:eastAsia="仿宋_GB2312" w:cs="宋体"/>
          <w:b/>
          <w:bCs/>
          <w:color w:val="auto"/>
          <w:sz w:val="32"/>
          <w:szCs w:val="32"/>
        </w:rPr>
        <w:t>赛道</w:t>
      </w:r>
    </w:p>
    <w:p>
      <w:pPr>
        <w:pStyle w:val="50"/>
        <w:widowControl w:val="0"/>
        <w:numPr>
          <w:ilvl w:val="0"/>
          <w:numId w:val="0"/>
        </w:numPr>
        <w:spacing w:after="0" w:line="288" w:lineRule="auto"/>
        <w:jc w:val="both"/>
        <w:rPr>
          <w:rFonts w:hint="eastAsia"/>
          <w:b/>
          <w:bCs w:val="0"/>
          <w:color w:val="000000" w:themeColor="text1"/>
          <w:sz w:val="40"/>
          <w:szCs w:val="40"/>
          <w:lang w:val="en-US" w:eastAsia="zh-CN"/>
          <w14:textFill>
            <w14:solidFill>
              <w14:schemeClr w14:val="tx1"/>
            </w14:solidFill>
          </w14:textFill>
        </w:rPr>
      </w:pPr>
    </w:p>
    <w:p>
      <w:pPr>
        <w:pStyle w:val="51"/>
        <w:numPr>
          <w:ilvl w:val="0"/>
          <w:numId w:val="0"/>
        </w:numPr>
        <w:spacing w:line="240" w:lineRule="auto"/>
        <w:ind w:left="200" w:leftChars="0" w:firstLine="320" w:firstLineChars="100"/>
        <w:rPr>
          <w:rFonts w:hint="eastAsia"/>
          <w:b/>
          <w:bCs w:val="0"/>
          <w:color w:val="000000" w:themeColor="text1"/>
          <w:sz w:val="40"/>
          <w:szCs w:val="40"/>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一、竞赛形式</w:t>
      </w:r>
    </w:p>
    <w:p>
      <w:pPr>
        <w:pStyle w:val="50"/>
        <w:numPr>
          <w:ilvl w:val="0"/>
          <w:numId w:val="0"/>
        </w:numPr>
        <w:ind w:firstLine="560" w:firstLineChars="200"/>
        <w:rPr>
          <w:rFonts w:hint="default"/>
          <w:lang w:val="en-US" w:eastAsia="zh-CN"/>
        </w:rPr>
      </w:pPr>
      <w:r>
        <w:rPr>
          <w:rFonts w:hint="default"/>
          <w:lang w:val="en-US" w:eastAsia="zh-CN"/>
        </w:rPr>
        <w:t>本次竞赛为经营模拟赛经营模拟赛为团体赛形式，由各校知识赛合格的选手自行组成团队(每个团队由3至5名选手和1至2名辅导教师组成)。各参赛院校统一由一位老师负责本校的赛事组织及联络工作。</w:t>
      </w:r>
    </w:p>
    <w:p>
      <w:pPr>
        <w:pStyle w:val="50"/>
        <w:numPr>
          <w:ilvl w:val="0"/>
          <w:numId w:val="0"/>
        </w:numPr>
        <w:rPr>
          <w:rFonts w:hint="default"/>
          <w:lang w:val="en-US" w:eastAsia="zh-CN"/>
        </w:rPr>
      </w:pPr>
      <w:r>
        <w:rPr>
          <w:rFonts w:hint="default"/>
          <w:lang w:val="en-US" w:eastAsia="zh-CN"/>
        </w:rPr>
        <w:t>比赛以“营销决策模拟软件”为指定竞赛平台，采取远程竞赛的方式，即参赛队无需集中，只需在竞赛期间登录竞赛执委会指定的服务器进行操作即可;</w:t>
      </w:r>
    </w:p>
    <w:p>
      <w:pPr>
        <w:pStyle w:val="50"/>
        <w:numPr>
          <w:ilvl w:val="0"/>
          <w:numId w:val="3"/>
        </w:numPr>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竞赛平台</w:t>
      </w:r>
    </w:p>
    <w:p>
      <w:pPr>
        <w:pStyle w:val="50"/>
        <w:numPr>
          <w:ilvl w:val="0"/>
          <w:numId w:val="0"/>
        </w:numPr>
        <w:ind w:firstLine="560" w:firstLineChars="200"/>
        <w:rPr>
          <w:rFonts w:hint="eastAsia"/>
          <w:lang w:val="en-US" w:eastAsia="zh-CN"/>
        </w:rPr>
      </w:pPr>
      <w:r>
        <w:rPr>
          <w:rFonts w:hint="eastAsia"/>
          <w:lang w:val="en-US" w:eastAsia="zh-CN"/>
        </w:rPr>
        <w:t>竞赛指定竞赛平台为“营销决策模拟软件”，该软件是北京云泽科技有限公司开发的仿真经营教学系统。公司经营包括三个区域，分别是东部区、中部区和西部区，公司在每个区域都设有工厂，每个工厂可以生成公司的全部产品，并分发到区域各地的仓库。经营团队角色包含总经理、人力资源总监、销售总监、研发总监、生产总监、财务总监，分别负责竞赛团队的各项职能。经营团队的每个角色都可以为自已负责的部分进行决策，但最后只有总经理可以提交本期的决策值。经营团队的每个角色根据自己的角色任务，分别进行市场调查、信息收集、市场预测、环境分析、企业内部信息分析等工作，在经过团队各成员间不断的沟通、讨论、研究等集体决策的程序，最终形成一组代表公司现阶段经营方向的决策值，在需求不断变化的动态市场环境中与其他公司进行竞争性博弈，在相互竞争中，通过此竞赛，参赛选手将接受关于销量预测、研发规划、生产布局、定价策略、销售渠道优化、销售团队管理、广告投放策略、财务分析、市场动态和行业协会趋势等方面的直观、全面的实践训练</w:t>
      </w:r>
    </w:p>
    <w:p>
      <w:pPr>
        <w:pStyle w:val="50"/>
        <w:numPr>
          <w:ilvl w:val="0"/>
          <w:numId w:val="3"/>
        </w:numPr>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评分规则</w:t>
      </w:r>
    </w:p>
    <w:p>
      <w:pPr>
        <w:pStyle w:val="50"/>
        <w:numPr>
          <w:ilvl w:val="0"/>
          <w:numId w:val="0"/>
        </w:numPr>
        <w:ind w:firstLine="560" w:firstLineChars="200"/>
        <w:rPr>
          <w:rFonts w:hint="eastAsia"/>
          <w:lang w:val="en-US" w:eastAsia="zh-CN"/>
        </w:rPr>
      </w:pPr>
      <w:r>
        <w:rPr>
          <w:rFonts w:hint="eastAsia"/>
          <w:lang w:val="en-US" w:eastAsia="zh-CN"/>
        </w:rPr>
        <w:t>最终成绩评定通过产品质量、税后盈利、市场份额、股票价值、产品库存五个指标最终值加权评定，系统可以自动根据五个指标最终值进行加权排名(产品质量、税后盈利、市场份额、股票价值、产品库存的比例分别为 15%、20%、25%15%、25%)，每个指标最终值由前面所有季度指标值加权得(第一季度、第二季度、第三季度、第四季度占比分别为10%、20%、30%、40%)</w:t>
      </w:r>
    </w:p>
    <w:p>
      <w:pPr>
        <w:pStyle w:val="50"/>
        <w:numPr>
          <w:ilvl w:val="0"/>
          <w:numId w:val="0"/>
        </w:numPr>
        <w:ind w:firstLine="560" w:firstLineChars="200"/>
        <w:rPr>
          <w:rFonts w:hint="eastAsia"/>
          <w:lang w:val="en-US" w:eastAsia="zh-CN"/>
        </w:rPr>
      </w:pPr>
      <w:r>
        <w:rPr>
          <w:rFonts w:hint="eastAsia"/>
          <w:lang w:val="en-US" w:eastAsia="zh-CN"/>
        </w:rPr>
        <w:t>软件模拟环节即根据竞赛小组排名评定获奖名次</w:t>
      </w:r>
    </w:p>
    <w:p>
      <w:pPr>
        <w:pStyle w:val="50"/>
        <w:numPr>
          <w:ilvl w:val="0"/>
          <w:numId w:val="0"/>
        </w:numPr>
        <w:ind w:firstLine="560" w:firstLineChars="200"/>
        <w:rPr>
          <w:rFonts w:hint="default"/>
          <w:lang w:val="en-US" w:eastAsia="zh-CN"/>
        </w:rPr>
      </w:pPr>
    </w:p>
    <w:p>
      <w:pPr>
        <w:pStyle w:val="50"/>
        <w:numPr>
          <w:ilvl w:val="0"/>
          <w:numId w:val="0"/>
        </w:numPr>
        <w:ind w:firstLine="560" w:firstLineChars="200"/>
        <w:rPr>
          <w:rFonts w:hint="default"/>
          <w:lang w:val="en-US" w:eastAsia="zh-CN"/>
        </w:rPr>
      </w:pPr>
    </w:p>
    <w:p>
      <w:pPr>
        <w:pStyle w:val="50"/>
        <w:numPr>
          <w:ilvl w:val="0"/>
          <w:numId w:val="0"/>
        </w:numPr>
        <w:ind w:firstLine="560" w:firstLineChars="200"/>
        <w:rPr>
          <w:rFonts w:hint="default"/>
          <w:lang w:val="en-US" w:eastAsia="zh-CN"/>
        </w:rPr>
      </w:pPr>
    </w:p>
    <w:p>
      <w:pPr>
        <w:pStyle w:val="50"/>
        <w:numPr>
          <w:ilvl w:val="0"/>
          <w:numId w:val="0"/>
        </w:numPr>
        <w:ind w:firstLine="560" w:firstLineChars="200"/>
        <w:rPr>
          <w:rFonts w:hint="default"/>
          <w:lang w:val="en-US" w:eastAsia="zh-CN"/>
        </w:rPr>
      </w:pPr>
    </w:p>
    <w:p>
      <w:pPr>
        <w:pStyle w:val="50"/>
        <w:numPr>
          <w:ilvl w:val="0"/>
          <w:numId w:val="0"/>
        </w:numPr>
        <w:ind w:firstLine="560" w:firstLineChars="200"/>
        <w:rPr>
          <w:rFonts w:hint="default"/>
          <w:lang w:val="en-US" w:eastAsia="zh-CN"/>
        </w:rPr>
      </w:pPr>
    </w:p>
    <w:p>
      <w:pPr>
        <w:pStyle w:val="50"/>
        <w:numPr>
          <w:ilvl w:val="0"/>
          <w:numId w:val="0"/>
        </w:numPr>
        <w:ind w:firstLine="560" w:firstLineChars="200"/>
        <w:rPr>
          <w:rFonts w:hint="default"/>
          <w:lang w:val="en-US" w:eastAsia="zh-CN"/>
        </w:rPr>
      </w:pPr>
    </w:p>
    <w:p>
      <w:pPr>
        <w:pStyle w:val="50"/>
        <w:numPr>
          <w:ilvl w:val="0"/>
          <w:numId w:val="0"/>
        </w:numPr>
        <w:ind w:firstLine="560" w:firstLineChars="200"/>
        <w:rPr>
          <w:rFonts w:hint="default"/>
          <w:lang w:val="en-US" w:eastAsia="zh-CN"/>
        </w:rPr>
      </w:pPr>
    </w:p>
    <w:p>
      <w:pPr>
        <w:pStyle w:val="50"/>
        <w:numPr>
          <w:ilvl w:val="0"/>
          <w:numId w:val="0"/>
        </w:numPr>
        <w:ind w:firstLine="560" w:firstLineChars="200"/>
        <w:rPr>
          <w:rFonts w:hint="default"/>
          <w:lang w:val="en-US" w:eastAsia="zh-CN"/>
        </w:rPr>
      </w:pPr>
    </w:p>
    <w:p>
      <w:pPr>
        <w:pStyle w:val="50"/>
        <w:numPr>
          <w:ilvl w:val="0"/>
          <w:numId w:val="0"/>
        </w:numPr>
        <w:ind w:firstLine="560" w:firstLineChars="200"/>
        <w:rPr>
          <w:rFonts w:hint="default"/>
          <w:lang w:val="en-US" w:eastAsia="zh-CN"/>
        </w:rPr>
      </w:pPr>
    </w:p>
    <w:p>
      <w:pPr>
        <w:pStyle w:val="50"/>
        <w:numPr>
          <w:ilvl w:val="0"/>
          <w:numId w:val="0"/>
        </w:numPr>
        <w:ind w:firstLine="560" w:firstLineChars="200"/>
        <w:rPr>
          <w:rFonts w:hint="default"/>
          <w:lang w:val="en-US" w:eastAsia="zh-CN"/>
        </w:rPr>
      </w:pPr>
    </w:p>
    <w:p>
      <w:pPr>
        <w:pStyle w:val="50"/>
        <w:numPr>
          <w:ilvl w:val="0"/>
          <w:numId w:val="0"/>
        </w:numPr>
        <w:ind w:firstLine="560" w:firstLineChars="200"/>
        <w:rPr>
          <w:rFonts w:hint="default"/>
          <w:lang w:val="en-US" w:eastAsia="zh-CN"/>
        </w:rPr>
      </w:pPr>
    </w:p>
    <w:p>
      <w:pPr>
        <w:pStyle w:val="50"/>
        <w:numPr>
          <w:ilvl w:val="0"/>
          <w:numId w:val="0"/>
        </w:numPr>
        <w:rPr>
          <w:rFonts w:hint="default"/>
          <w:lang w:val="en-US" w:eastAsia="zh-CN"/>
        </w:rPr>
      </w:pPr>
      <w:bookmarkStart w:id="14" w:name="_GoBack"/>
      <w:bookmarkEnd w:id="14"/>
    </w:p>
    <w:sectPr>
      <w:footerReference r:id="rId5" w:type="default"/>
      <w:footerReference r:id="rId6" w:type="even"/>
      <w:pgSz w:w="11906" w:h="16838"/>
      <w:pgMar w:top="1418" w:right="1474" w:bottom="1418" w:left="147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B0604020202020204"/>
    <w:charset w:val="86"/>
    <w:family w:val="modern"/>
    <w:pitch w:val="default"/>
    <w:sig w:usb0="00000000" w:usb1="00000000" w:usb2="00000000" w:usb3="00000000" w:csb0="00040000" w:csb1="00000000"/>
  </w:font>
  <w:font w:name="方正小标宋简体">
    <w:altName w:val="汉仪书宋二KW"/>
    <w:panose1 w:val="020B0604020202020204"/>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等线 Light">
    <w:altName w:val="汉仪中等线KW"/>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1"/>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25</w:t>
                    </w:r>
                    <w:r>
                      <w:fldChar w:fldCharType="end"/>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1</w:t>
    </w:r>
    <w:r>
      <w:fldChar w:fldCharType="end"/>
    </w:r>
  </w:p>
  <w:p>
    <w:pPr>
      <w:pStyle w:val="1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E9309"/>
    <w:multiLevelType w:val="singleLevel"/>
    <w:tmpl w:val="DEEE9309"/>
    <w:lvl w:ilvl="0" w:tentative="0">
      <w:start w:val="3"/>
      <w:numFmt w:val="chineseCounting"/>
      <w:suff w:val="nothing"/>
      <w:lvlText w:val="%1、"/>
      <w:lvlJc w:val="left"/>
      <w:rPr>
        <w:rFonts w:hint="eastAsia"/>
      </w:rPr>
    </w:lvl>
  </w:abstractNum>
  <w:abstractNum w:abstractNumId="1">
    <w:nsid w:val="EEF67948"/>
    <w:multiLevelType w:val="singleLevel"/>
    <w:tmpl w:val="EEF67948"/>
    <w:lvl w:ilvl="0" w:tentative="0">
      <w:start w:val="2"/>
      <w:numFmt w:val="chineseCounting"/>
      <w:suff w:val="nothing"/>
      <w:lvlText w:val="%1、"/>
      <w:lvlJc w:val="left"/>
      <w:rPr>
        <w:rFonts w:hint="eastAsia"/>
      </w:rPr>
    </w:lvl>
  </w:abstractNum>
  <w:abstractNum w:abstractNumId="2">
    <w:nsid w:val="0FBE30C7"/>
    <w:multiLevelType w:val="singleLevel"/>
    <w:tmpl w:val="0FBE30C7"/>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7F"/>
    <w:rsid w:val="000202E5"/>
    <w:rsid w:val="00060E7F"/>
    <w:rsid w:val="00092DC6"/>
    <w:rsid w:val="00121DF0"/>
    <w:rsid w:val="00154923"/>
    <w:rsid w:val="001A0CEC"/>
    <w:rsid w:val="00286103"/>
    <w:rsid w:val="00313839"/>
    <w:rsid w:val="003841CE"/>
    <w:rsid w:val="003E6706"/>
    <w:rsid w:val="00460856"/>
    <w:rsid w:val="004E42EB"/>
    <w:rsid w:val="00512C25"/>
    <w:rsid w:val="007004FD"/>
    <w:rsid w:val="00701387"/>
    <w:rsid w:val="00805064"/>
    <w:rsid w:val="00853147"/>
    <w:rsid w:val="008702E7"/>
    <w:rsid w:val="00887E47"/>
    <w:rsid w:val="008E12E8"/>
    <w:rsid w:val="009E5D1C"/>
    <w:rsid w:val="00A312D7"/>
    <w:rsid w:val="00A55231"/>
    <w:rsid w:val="00A855FC"/>
    <w:rsid w:val="00AE2690"/>
    <w:rsid w:val="00B4037F"/>
    <w:rsid w:val="00C03BC1"/>
    <w:rsid w:val="00C626D9"/>
    <w:rsid w:val="00CA1CD7"/>
    <w:rsid w:val="00CC50BA"/>
    <w:rsid w:val="00D977CF"/>
    <w:rsid w:val="00DE3CBB"/>
    <w:rsid w:val="00E0609A"/>
    <w:rsid w:val="00EA66A9"/>
    <w:rsid w:val="00F04384"/>
    <w:rsid w:val="00F63553"/>
    <w:rsid w:val="00F962ED"/>
    <w:rsid w:val="1EEB8C22"/>
    <w:rsid w:val="2BFB62BC"/>
    <w:rsid w:val="358FBBFA"/>
    <w:rsid w:val="3E7F49E8"/>
    <w:rsid w:val="4BB70579"/>
    <w:rsid w:val="7BBF9DC2"/>
    <w:rsid w:val="7FFE2B91"/>
    <w:rsid w:val="876B41D3"/>
    <w:rsid w:val="D744A157"/>
    <w:rsid w:val="EDDFC565"/>
    <w:rsid w:val="FB966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宋体" w:hAnsi="宋体" w:eastAsia="宋体" w:cs="宋体"/>
      <w:kern w:val="0"/>
      <w:sz w:val="24"/>
      <w:szCs w:val="24"/>
      <w:lang w:val="en-US" w:eastAsia="zh-CN" w:bidi="ar-SA"/>
      <w14:ligatures w14:val="none"/>
    </w:rPr>
  </w:style>
  <w:style w:type="paragraph" w:styleId="2">
    <w:name w:val="heading 1"/>
    <w:basedOn w:val="1"/>
    <w:next w:val="1"/>
    <w:link w:val="24"/>
    <w:qFormat/>
    <w:uiPriority w:val="9"/>
    <w:pPr>
      <w:keepNext/>
      <w:keepLines/>
      <w:spacing w:before="480" w:after="80" w:line="278" w:lineRule="auto"/>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5"/>
    <w:unhideWhenUsed/>
    <w:qFormat/>
    <w:uiPriority w:val="9"/>
    <w:pPr>
      <w:keepNext/>
      <w:keepLines/>
      <w:spacing w:before="160" w:after="80" w:line="278" w:lineRule="auto"/>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6"/>
    <w:unhideWhenUsed/>
    <w:qFormat/>
    <w:uiPriority w:val="9"/>
    <w:pPr>
      <w:keepNext/>
      <w:keepLines/>
      <w:spacing w:before="160" w:after="80" w:line="278" w:lineRule="auto"/>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7"/>
    <w:semiHidden/>
    <w:unhideWhenUsed/>
    <w:qFormat/>
    <w:uiPriority w:val="9"/>
    <w:pPr>
      <w:keepNext/>
      <w:keepLines/>
      <w:spacing w:before="80" w:after="40" w:line="278" w:lineRule="auto"/>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8"/>
    <w:semiHidden/>
    <w:unhideWhenUsed/>
    <w:qFormat/>
    <w:uiPriority w:val="9"/>
    <w:pPr>
      <w:keepNext/>
      <w:keepLines/>
      <w:spacing w:before="80" w:after="40" w:line="278" w:lineRule="auto"/>
      <w:outlineLvl w:val="4"/>
    </w:pPr>
    <w:rPr>
      <w:rFonts w:asciiTheme="minorHAnsi" w:hAnsiTheme="minorHAnsi" w:eastAsiaTheme="minorEastAsia" w:cstheme="majorBidi"/>
      <w:color w:val="104862" w:themeColor="accent1" w:themeShade="BF"/>
      <w14:ligatures w14:val="standardContextual"/>
    </w:rPr>
  </w:style>
  <w:style w:type="paragraph" w:styleId="7">
    <w:name w:val="heading 6"/>
    <w:basedOn w:val="1"/>
    <w:next w:val="1"/>
    <w:link w:val="29"/>
    <w:semiHidden/>
    <w:unhideWhenUsed/>
    <w:qFormat/>
    <w:uiPriority w:val="9"/>
    <w:pPr>
      <w:keepNext/>
      <w:keepLines/>
      <w:spacing w:before="40" w:line="278" w:lineRule="auto"/>
      <w:outlineLvl w:val="5"/>
    </w:pPr>
    <w:rPr>
      <w:rFonts w:asciiTheme="minorHAnsi" w:hAnsiTheme="minorHAnsi" w:eastAsiaTheme="minorEastAsia" w:cstheme="majorBidi"/>
      <w:b/>
      <w:bCs/>
      <w:color w:val="104862" w:themeColor="accent1" w:themeShade="BF"/>
      <w:sz w:val="22"/>
      <w14:ligatures w14:val="standardContextual"/>
    </w:rPr>
  </w:style>
  <w:style w:type="paragraph" w:styleId="8">
    <w:name w:val="heading 7"/>
    <w:basedOn w:val="1"/>
    <w:next w:val="1"/>
    <w:link w:val="30"/>
    <w:semiHidden/>
    <w:unhideWhenUsed/>
    <w:qFormat/>
    <w:uiPriority w:val="9"/>
    <w:pPr>
      <w:keepNext/>
      <w:keepLines/>
      <w:spacing w:before="40" w:line="278" w:lineRule="auto"/>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31"/>
    <w:semiHidden/>
    <w:unhideWhenUsed/>
    <w:qFormat/>
    <w:uiPriority w:val="9"/>
    <w:pPr>
      <w:keepNext/>
      <w:keepLines/>
      <w:spacing w:line="278" w:lineRule="auto"/>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32"/>
    <w:semiHidden/>
    <w:unhideWhenUsed/>
    <w:qFormat/>
    <w:uiPriority w:val="9"/>
    <w:pPr>
      <w:keepNext/>
      <w:keepLines/>
      <w:spacing w:line="278" w:lineRule="auto"/>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Body Text"/>
    <w:basedOn w:val="1"/>
    <w:next w:val="1"/>
    <w:link w:val="47"/>
    <w:semiHidden/>
    <w:unhideWhenUsed/>
    <w:qFormat/>
    <w:uiPriority w:val="99"/>
    <w:pPr>
      <w:widowControl w:val="0"/>
      <w:spacing w:after="120"/>
      <w:jc w:val="both"/>
    </w:pPr>
    <w:rPr>
      <w:rFonts w:asciiTheme="minorHAnsi" w:hAnsiTheme="minorHAnsi" w:eastAsiaTheme="minorEastAsia" w:cstheme="minorBidi"/>
      <w:kern w:val="2"/>
      <w:sz w:val="21"/>
    </w:rPr>
  </w:style>
  <w:style w:type="paragraph" w:styleId="12">
    <w:name w:val="footer"/>
    <w:basedOn w:val="1"/>
    <w:link w:val="42"/>
    <w:qFormat/>
    <w:uiPriority w:val="99"/>
    <w:pPr>
      <w:tabs>
        <w:tab w:val="center" w:pos="4153"/>
        <w:tab w:val="right" w:pos="8306"/>
      </w:tabs>
      <w:snapToGrid w:val="0"/>
    </w:pPr>
    <w:rPr>
      <w:sz w:val="18"/>
      <w:szCs w:val="18"/>
    </w:rPr>
  </w:style>
  <w:style w:type="paragraph" w:styleId="13">
    <w:name w:val="header"/>
    <w:basedOn w:val="1"/>
    <w:link w:val="48"/>
    <w:unhideWhenUsed/>
    <w:qFormat/>
    <w:uiPriority w:val="99"/>
    <w:pPr>
      <w:widowControl w:val="0"/>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4">
    <w:name w:val="Subtitle"/>
    <w:basedOn w:val="1"/>
    <w:next w:val="1"/>
    <w:link w:val="34"/>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Normal (Web)"/>
    <w:basedOn w:val="1"/>
    <w:unhideWhenUsed/>
    <w:qFormat/>
    <w:uiPriority w:val="0"/>
    <w:pPr>
      <w:spacing w:before="100" w:beforeAutospacing="1" w:after="100" w:afterAutospacing="1"/>
    </w:pPr>
    <w:rPr>
      <w:szCs w:val="20"/>
    </w:rPr>
  </w:style>
  <w:style w:type="paragraph" w:styleId="16">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18">
    <w:name w:val="Table Grid"/>
    <w:basedOn w:val="17"/>
    <w:qFormat/>
    <w:uiPriority w:val="39"/>
    <w:pPr>
      <w:spacing w:after="0" w:line="240" w:lineRule="auto"/>
    </w:pPr>
    <w:rPr>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page number"/>
    <w:uiPriority w:val="0"/>
  </w:style>
  <w:style w:type="character" w:styleId="22">
    <w:name w:val="FollowedHyperlink"/>
    <w:basedOn w:val="19"/>
    <w:semiHidden/>
    <w:unhideWhenUsed/>
    <w:uiPriority w:val="99"/>
    <w:rPr>
      <w:color w:val="96607D" w:themeColor="followedHyperlink"/>
      <w:u w:val="single"/>
      <w14:textFill>
        <w14:solidFill>
          <w14:schemeClr w14:val="folHlink"/>
        </w14:solidFill>
      </w14:textFill>
    </w:rPr>
  </w:style>
  <w:style w:type="character" w:styleId="23">
    <w:name w:val="Hyperlink"/>
    <w:unhideWhenUsed/>
    <w:uiPriority w:val="99"/>
    <w:rPr>
      <w:color w:val="0000FF"/>
      <w:u w:val="single"/>
    </w:rPr>
  </w:style>
  <w:style w:type="character" w:customStyle="1" w:styleId="24">
    <w:name w:val="标题 1 字符"/>
    <w:basedOn w:val="19"/>
    <w:link w:val="2"/>
    <w:uiPriority w:val="9"/>
    <w:rPr>
      <w:rFonts w:asciiTheme="majorHAnsi" w:hAnsiTheme="majorHAnsi" w:eastAsiaTheme="majorEastAsia" w:cstheme="majorBidi"/>
      <w:color w:val="104862" w:themeColor="accent1" w:themeShade="BF"/>
      <w:sz w:val="48"/>
      <w:szCs w:val="48"/>
    </w:rPr>
  </w:style>
  <w:style w:type="character" w:customStyle="1" w:styleId="25">
    <w:name w:val="标题 2 字符"/>
    <w:basedOn w:val="19"/>
    <w:link w:val="3"/>
    <w:uiPriority w:val="9"/>
    <w:rPr>
      <w:rFonts w:asciiTheme="majorHAnsi" w:hAnsiTheme="majorHAnsi" w:eastAsiaTheme="majorEastAsia" w:cstheme="majorBidi"/>
      <w:color w:val="104862" w:themeColor="accent1" w:themeShade="BF"/>
      <w:sz w:val="40"/>
      <w:szCs w:val="40"/>
    </w:rPr>
  </w:style>
  <w:style w:type="character" w:customStyle="1" w:styleId="26">
    <w:name w:val="标题 3 字符"/>
    <w:basedOn w:val="19"/>
    <w:link w:val="4"/>
    <w:uiPriority w:val="9"/>
    <w:rPr>
      <w:rFonts w:asciiTheme="majorHAnsi" w:hAnsiTheme="majorHAnsi" w:eastAsiaTheme="majorEastAsia" w:cstheme="majorBidi"/>
      <w:color w:val="104862" w:themeColor="accent1" w:themeShade="BF"/>
      <w:sz w:val="32"/>
      <w:szCs w:val="32"/>
    </w:rPr>
  </w:style>
  <w:style w:type="character" w:customStyle="1" w:styleId="27">
    <w:name w:val="标题 4 字符"/>
    <w:basedOn w:val="19"/>
    <w:link w:val="5"/>
    <w:semiHidden/>
    <w:uiPriority w:val="9"/>
    <w:rPr>
      <w:rFonts w:cstheme="majorBidi"/>
      <w:color w:val="104862" w:themeColor="accent1" w:themeShade="BF"/>
      <w:sz w:val="28"/>
      <w:szCs w:val="28"/>
    </w:rPr>
  </w:style>
  <w:style w:type="character" w:customStyle="1" w:styleId="28">
    <w:name w:val="标题 5 字符"/>
    <w:basedOn w:val="19"/>
    <w:link w:val="6"/>
    <w:semiHidden/>
    <w:uiPriority w:val="9"/>
    <w:rPr>
      <w:rFonts w:cstheme="majorBidi"/>
      <w:color w:val="104862" w:themeColor="accent1" w:themeShade="BF"/>
      <w:sz w:val="24"/>
    </w:rPr>
  </w:style>
  <w:style w:type="character" w:customStyle="1" w:styleId="29">
    <w:name w:val="标题 6 字符"/>
    <w:basedOn w:val="19"/>
    <w:link w:val="7"/>
    <w:semiHidden/>
    <w:uiPriority w:val="9"/>
    <w:rPr>
      <w:rFonts w:cstheme="majorBidi"/>
      <w:b/>
      <w:bCs/>
      <w:color w:val="104862" w:themeColor="accent1" w:themeShade="BF"/>
    </w:rPr>
  </w:style>
  <w:style w:type="character" w:customStyle="1" w:styleId="30">
    <w:name w:val="标题 7 字符"/>
    <w:basedOn w:val="19"/>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19"/>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19"/>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19"/>
    <w:link w:val="16"/>
    <w:uiPriority w:val="10"/>
    <w:rPr>
      <w:rFonts w:asciiTheme="majorHAnsi" w:hAnsiTheme="majorHAnsi" w:eastAsiaTheme="majorEastAsia" w:cstheme="majorBidi"/>
      <w:spacing w:val="-10"/>
      <w:kern w:val="28"/>
      <w:sz w:val="56"/>
      <w:szCs w:val="56"/>
    </w:rPr>
  </w:style>
  <w:style w:type="character" w:customStyle="1" w:styleId="34">
    <w:name w:val="副标题 字符"/>
    <w:basedOn w:val="19"/>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6">
    <w:name w:val="引用 字符"/>
    <w:basedOn w:val="19"/>
    <w:link w:val="35"/>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spacing w:after="160" w:line="278" w:lineRule="auto"/>
      <w:ind w:left="720"/>
      <w:contextualSpacing/>
    </w:pPr>
    <w:rPr>
      <w:rFonts w:asciiTheme="minorHAnsi" w:hAnsiTheme="minorHAnsi" w:eastAsiaTheme="minorEastAsia" w:cstheme="minorBidi"/>
      <w:sz w:val="22"/>
      <w14:ligatures w14:val="standardContextual"/>
    </w:rPr>
  </w:style>
  <w:style w:type="character" w:customStyle="1" w:styleId="38">
    <w:name w:val="Intense Emphasis"/>
    <w:basedOn w:val="19"/>
    <w:qFormat/>
    <w:uiPriority w:val="21"/>
    <w:rPr>
      <w:i/>
      <w:iCs/>
      <w:color w:val="104862" w:themeColor="accent1" w:themeShade="BF"/>
    </w:rPr>
  </w:style>
  <w:style w:type="paragraph" w:styleId="39">
    <w:name w:val="Intense Quote"/>
    <w:basedOn w:val="1"/>
    <w:next w:val="1"/>
    <w:link w:val="40"/>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sz w:val="22"/>
      <w14:ligatures w14:val="standardContextual"/>
    </w:rPr>
  </w:style>
  <w:style w:type="character" w:customStyle="1" w:styleId="40">
    <w:name w:val="明显引用 字符"/>
    <w:basedOn w:val="19"/>
    <w:link w:val="39"/>
    <w:uiPriority w:val="30"/>
    <w:rPr>
      <w:i/>
      <w:iCs/>
      <w:color w:val="104862" w:themeColor="accent1" w:themeShade="BF"/>
    </w:rPr>
  </w:style>
  <w:style w:type="character" w:customStyle="1" w:styleId="41">
    <w:name w:val="Intense Reference"/>
    <w:basedOn w:val="19"/>
    <w:qFormat/>
    <w:uiPriority w:val="32"/>
    <w:rPr>
      <w:b/>
      <w:bCs/>
      <w:smallCaps/>
      <w:color w:val="104862" w:themeColor="accent1" w:themeShade="BF"/>
      <w:spacing w:val="5"/>
    </w:rPr>
  </w:style>
  <w:style w:type="character" w:customStyle="1" w:styleId="42">
    <w:name w:val="页脚 字符"/>
    <w:basedOn w:val="19"/>
    <w:link w:val="12"/>
    <w:uiPriority w:val="0"/>
    <w:rPr>
      <w:rFonts w:ascii="Times New Roman" w:hAnsi="Times New Roman" w:eastAsia="宋体" w:cs="Times New Roman"/>
      <w:sz w:val="18"/>
      <w:szCs w:val="18"/>
      <w14:ligatures w14:val="none"/>
    </w:rPr>
  </w:style>
  <w:style w:type="paragraph" w:customStyle="1" w:styleId="43">
    <w:name w:val="p1"/>
    <w:basedOn w:val="1"/>
    <w:uiPriority w:val="0"/>
    <w:rPr>
      <w:rFonts w:ascii="Helvetica" w:hAnsi="Helvetica"/>
      <w:color w:val="000000"/>
      <w:szCs w:val="21"/>
    </w:rPr>
  </w:style>
  <w:style w:type="paragraph" w:customStyle="1" w:styleId="44">
    <w:name w:val="p2"/>
    <w:basedOn w:val="1"/>
    <w:uiPriority w:val="0"/>
    <w:rPr>
      <w:rFonts w:ascii="Helvetica" w:hAnsi="Helvetica"/>
      <w:color w:val="FB0007"/>
      <w:szCs w:val="21"/>
    </w:rPr>
  </w:style>
  <w:style w:type="character" w:customStyle="1" w:styleId="45">
    <w:name w:val="页脚 Char"/>
    <w:uiPriority w:val="99"/>
    <w:rPr>
      <w:sz w:val="18"/>
      <w:szCs w:val="18"/>
    </w:rPr>
  </w:style>
  <w:style w:type="character" w:customStyle="1" w:styleId="46">
    <w:name w:val="s1"/>
    <w:basedOn w:val="19"/>
    <w:uiPriority w:val="0"/>
    <w:rPr>
      <w:color w:val="FB0007"/>
    </w:rPr>
  </w:style>
  <w:style w:type="character" w:customStyle="1" w:styleId="47">
    <w:name w:val="正文文本 字符"/>
    <w:basedOn w:val="19"/>
    <w:link w:val="11"/>
    <w:semiHidden/>
    <w:uiPriority w:val="99"/>
    <w:rPr>
      <w:sz w:val="21"/>
      <w14:ligatures w14:val="none"/>
    </w:rPr>
  </w:style>
  <w:style w:type="character" w:customStyle="1" w:styleId="48">
    <w:name w:val="页眉 字符"/>
    <w:basedOn w:val="19"/>
    <w:link w:val="13"/>
    <w:uiPriority w:val="99"/>
    <w:rPr>
      <w:sz w:val="18"/>
      <w:szCs w:val="18"/>
      <w14:ligatures w14:val="none"/>
    </w:rPr>
  </w:style>
  <w:style w:type="paragraph" w:customStyle="1" w:styleId="49">
    <w:name w:val="71e7dc79-1ff7-45e8-997d-0ebda3762b91"/>
    <w:basedOn w:val="3"/>
    <w:next w:val="50"/>
    <w:autoRedefine/>
    <w:qFormat/>
    <w:uiPriority w:val="0"/>
    <w:pPr>
      <w:widowControl w:val="0"/>
      <w:spacing w:before="0" w:after="0" w:line="400" w:lineRule="exact"/>
      <w:ind w:firstLine="560"/>
    </w:pPr>
    <w:rPr>
      <w:rFonts w:ascii="微软雅黑" w:hAnsi="微软雅黑" w:eastAsia="微软雅黑" w:cs="仿宋"/>
      <w:b/>
      <w:color w:val="000000"/>
      <w:kern w:val="2"/>
      <w:sz w:val="28"/>
      <w:szCs w:val="28"/>
      <w14:ligatures w14:val="none"/>
    </w:rPr>
  </w:style>
  <w:style w:type="paragraph" w:customStyle="1" w:styleId="50">
    <w:name w:val="acbfdd8b-e11b-4d36-88ff-6049b138f862"/>
    <w:basedOn w:val="11"/>
    <w:autoRedefine/>
    <w:qFormat/>
    <w:uiPriority w:val="0"/>
    <w:pPr>
      <w:spacing w:after="0" w:line="288" w:lineRule="auto"/>
      <w:ind w:firstLine="560"/>
      <w:jc w:val="left"/>
    </w:pPr>
    <w:rPr>
      <w:rFonts w:ascii="仿宋_GB2312" w:hAnsi="微软雅黑" w:eastAsia="仿宋_GB2312"/>
      <w:bCs/>
      <w:color w:val="000000"/>
      <w:sz w:val="28"/>
      <w:szCs w:val="28"/>
    </w:rPr>
  </w:style>
  <w:style w:type="paragraph" w:customStyle="1" w:styleId="51">
    <w:name w:val="b63ee27f-4cf3-414c-9275-d88e3f90795e"/>
    <w:basedOn w:val="4"/>
    <w:next w:val="50"/>
    <w:autoRedefine/>
    <w:qFormat/>
    <w:uiPriority w:val="0"/>
    <w:pPr>
      <w:widowControl w:val="0"/>
      <w:spacing w:before="0" w:after="0" w:line="288" w:lineRule="auto"/>
      <w:ind w:firstLine="200"/>
    </w:pPr>
    <w:rPr>
      <w:rFonts w:ascii="微软雅黑" w:hAnsi="微软雅黑" w:eastAsia="微软雅黑" w:cstheme="minorBidi"/>
      <w:b/>
      <w:color w:val="000000"/>
      <w:kern w:val="2"/>
      <w:sz w:val="26"/>
      <w:szCs w:val="28"/>
      <w14:ligatures w14:val="none"/>
    </w:rPr>
  </w:style>
  <w:style w:type="table" w:customStyle="1" w:styleId="52">
    <w:name w:val="Table Normal"/>
    <w:autoRedefine/>
    <w:semiHidden/>
    <w:unhideWhenUsed/>
    <w:qFormat/>
    <w:uiPriority w:val="0"/>
    <w:pPr>
      <w:spacing w:after="0" w:line="240" w:lineRule="auto"/>
    </w:pPr>
    <w:rPr>
      <w:rFonts w:ascii="Arial" w:hAnsi="Arial" w:cs="Arial"/>
      <w:snapToGrid w:val="0"/>
      <w:color w:val="000000"/>
      <w:kern w:val="0"/>
      <w:sz w:val="20"/>
      <w:szCs w:val="21"/>
      <w14:ligatures w14:val="none"/>
    </w:rPr>
    <w:tblPr>
      <w:tblCellMar>
        <w:top w:w="0" w:type="dxa"/>
        <w:left w:w="0" w:type="dxa"/>
        <w:bottom w:w="0" w:type="dxa"/>
        <w:right w:w="0" w:type="dxa"/>
      </w:tblCellMar>
    </w:tblPr>
  </w:style>
  <w:style w:type="paragraph" w:customStyle="1" w:styleId="53">
    <w:name w:val="Table Text"/>
    <w:basedOn w:val="1"/>
    <w:semiHidden/>
    <w:qFormat/>
    <w:uiPriority w:val="0"/>
    <w:pPr>
      <w:widowControl w:val="0"/>
      <w:jc w:val="both"/>
    </w:pPr>
    <w:rPr>
      <w:kern w:val="2"/>
      <w:sz w:val="21"/>
      <w:szCs w:val="21"/>
      <w:lang w:eastAsia="en-US"/>
    </w:rPr>
  </w:style>
  <w:style w:type="paragraph" w:customStyle="1" w:styleId="54">
    <w:name w:val="21bc9c4b-6a32-43e5-beaa-fd2d792c5735"/>
    <w:basedOn w:val="2"/>
    <w:next w:val="50"/>
    <w:autoRedefine/>
    <w:qFormat/>
    <w:uiPriority w:val="0"/>
    <w:pPr>
      <w:widowControl w:val="0"/>
      <w:spacing w:before="0" w:after="0" w:line="440" w:lineRule="exact"/>
      <w:jc w:val="center"/>
    </w:pPr>
    <w:rPr>
      <w:rFonts w:ascii="方正小标宋简体" w:eastAsia="方正小标宋简体" w:hAnsiTheme="minorHAnsi" w:cstheme="minorBidi"/>
      <w:b/>
      <w:bCs/>
      <w:color w:val="000000"/>
      <w:kern w:val="44"/>
      <w:sz w:val="32"/>
      <w:szCs w:val="32"/>
      <w14:ligatures w14:val="none"/>
    </w:rPr>
  </w:style>
  <w:style w:type="paragraph" w:customStyle="1" w:styleId="55">
    <w:name w:val="一级段落"/>
    <w:basedOn w:val="1"/>
    <w:link w:val="56"/>
    <w:autoRedefine/>
    <w:qFormat/>
    <w:uiPriority w:val="0"/>
    <w:pPr>
      <w:widowControl w:val="0"/>
      <w:jc w:val="center"/>
    </w:pPr>
    <w:rPr>
      <w:rFonts w:asciiTheme="minorHAnsi" w:hAnsiTheme="minorHAnsi" w:eastAsiaTheme="minorEastAsia" w:cstheme="minorBidi"/>
      <w:b/>
      <w:bCs/>
      <w:kern w:val="2"/>
      <w:sz w:val="28"/>
      <w:szCs w:val="28"/>
    </w:rPr>
  </w:style>
  <w:style w:type="character" w:customStyle="1" w:styleId="56">
    <w:name w:val="一级段落 字符"/>
    <w:basedOn w:val="19"/>
    <w:link w:val="55"/>
    <w:autoRedefine/>
    <w:qFormat/>
    <w:uiPriority w:val="0"/>
    <w:rPr>
      <w:b/>
      <w:bCs/>
      <w:sz w:val="28"/>
      <w:szCs w:val="28"/>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5929</Words>
  <Characters>33801</Characters>
  <Lines>281</Lines>
  <Paragraphs>79</Paragraphs>
  <TotalTime>0</TotalTime>
  <ScaleCrop>false</ScaleCrop>
  <LinksUpToDate>false</LinksUpToDate>
  <CharactersWithSpaces>39651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2025-02-21T22:01:00Z</dcterms:created>
  <dc:creator>ZHAOKEXIN</dc:creator>
  <cp:lastModifiedBy>狼族少年</cp:lastModifiedBy>
  <dcterms:modified xsi:type="dcterms:W3CDTF">2025-04-18T10:10:09Z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9C057C61BA9051EAAAD8E0670BC3908B_42</vt:lpwstr>
  </property>
</Properties>
</file>